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jc w:val="center"/>
        <w:tblLayout w:type="fixed"/>
        <w:tblLook w:val="0000" w:firstRow="0" w:lastRow="0" w:firstColumn="0" w:lastColumn="0" w:noHBand="0" w:noVBand="0"/>
      </w:tblPr>
      <w:tblGrid>
        <w:gridCol w:w="2520"/>
        <w:gridCol w:w="6720"/>
      </w:tblGrid>
      <w:tr w:rsidR="006955E4" w:rsidRPr="00986A82" w:rsidTr="0001414E">
        <w:trPr>
          <w:trHeight w:val="1300"/>
          <w:jc w:val="center"/>
        </w:trPr>
        <w:tc>
          <w:tcPr>
            <w:tcW w:w="2520" w:type="dxa"/>
          </w:tcPr>
          <w:p w:rsidR="006955E4" w:rsidRPr="00986A82" w:rsidRDefault="006955E4" w:rsidP="00986A82">
            <w:pPr>
              <w:pStyle w:val="Heading3"/>
              <w:rPr>
                <w:rFonts w:ascii="Times New Roman" w:hAnsi="Times New Roman"/>
              </w:rPr>
            </w:pPr>
            <w:r w:rsidRPr="00986A82">
              <w:rPr>
                <w:rFonts w:ascii="Times New Roman" w:hAnsi="Times New Roman"/>
              </w:rPr>
              <w:t>BỘ TÀI CHÍNH</w:t>
            </w:r>
          </w:p>
          <w:p w:rsidR="006955E4" w:rsidRPr="00986A82" w:rsidRDefault="00D45969" w:rsidP="006955E4">
            <w:pPr>
              <w:pStyle w:val="Heading3"/>
              <w:keepNext w:val="0"/>
              <w:widowControl w:val="0"/>
              <w:rPr>
                <w:rFonts w:ascii="Times New Roman" w:hAnsi="Times New Roman"/>
                <w:b w:val="0"/>
                <w:sz w:val="28"/>
                <w:szCs w:val="28"/>
                <w:lang w:val="nl-NL"/>
              </w:rPr>
            </w:pPr>
            <w:r>
              <w:rPr>
                <w:rFonts w:ascii="Times New Roman" w:hAnsi="Times New Roman"/>
                <w:b w:val="0"/>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466090</wp:posOffset>
                      </wp:positionH>
                      <wp:positionV relativeFrom="paragraph">
                        <wp:posOffset>66040</wp:posOffset>
                      </wp:positionV>
                      <wp:extent cx="409575" cy="635"/>
                      <wp:effectExtent l="0" t="0" r="9525" b="374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6.7pt;margin-top:5.2pt;width:32.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4uIAIAADw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"/>
                  </w:pict>
                </mc:Fallback>
              </mc:AlternateContent>
            </w:r>
          </w:p>
          <w:p w:rsidR="006955E4" w:rsidRPr="00986A82" w:rsidRDefault="006955E4" w:rsidP="006955E4">
            <w:pPr>
              <w:pStyle w:val="Heading3"/>
              <w:keepNext w:val="0"/>
              <w:widowControl w:val="0"/>
              <w:rPr>
                <w:rFonts w:ascii="Times New Roman" w:hAnsi="Times New Roman"/>
                <w:b w:val="0"/>
                <w:sz w:val="28"/>
                <w:szCs w:val="28"/>
                <w:lang w:val="nl-NL"/>
              </w:rPr>
            </w:pPr>
          </w:p>
        </w:tc>
        <w:tc>
          <w:tcPr>
            <w:tcW w:w="6720" w:type="dxa"/>
          </w:tcPr>
          <w:p w:rsidR="006955E4" w:rsidRPr="00986A82" w:rsidRDefault="006955E4" w:rsidP="006955E4">
            <w:pPr>
              <w:widowControl w:val="0"/>
              <w:spacing w:after="0" w:line="240" w:lineRule="auto"/>
              <w:jc w:val="center"/>
              <w:rPr>
                <w:rFonts w:ascii="Times New Roman" w:hAnsi="Times New Roman" w:cs="Times New Roman"/>
                <w:b/>
                <w:sz w:val="28"/>
                <w:szCs w:val="28"/>
                <w:lang w:val="nl-NL"/>
              </w:rPr>
            </w:pPr>
            <w:r w:rsidRPr="00986A82">
              <w:rPr>
                <w:rFonts w:ascii="Times New Roman" w:hAnsi="Times New Roman" w:cs="Times New Roman"/>
                <w:b/>
                <w:sz w:val="28"/>
                <w:szCs w:val="28"/>
                <w:lang w:val="nl-NL"/>
              </w:rPr>
              <w:t>CỘNG HOÀ XÃ HỘI CHỦ NGHĨA VIỆT NAM</w:t>
            </w:r>
          </w:p>
          <w:p w:rsidR="006955E4" w:rsidRPr="00986A82" w:rsidRDefault="006955E4" w:rsidP="006955E4">
            <w:pPr>
              <w:widowControl w:val="0"/>
              <w:spacing w:after="0" w:line="240" w:lineRule="auto"/>
              <w:jc w:val="center"/>
              <w:rPr>
                <w:rFonts w:ascii="Times New Roman" w:hAnsi="Times New Roman" w:cs="Times New Roman"/>
                <w:b/>
                <w:sz w:val="28"/>
                <w:szCs w:val="28"/>
                <w:lang w:val="nl-NL"/>
              </w:rPr>
            </w:pPr>
            <w:r w:rsidRPr="00986A82">
              <w:rPr>
                <w:rFonts w:ascii="Times New Roman" w:hAnsi="Times New Roman" w:cs="Times New Roman"/>
                <w:b/>
                <w:sz w:val="28"/>
                <w:szCs w:val="28"/>
                <w:lang w:val="nl-NL"/>
              </w:rPr>
              <w:t>Độc lập - Tự do - Hạnh phúc</w:t>
            </w:r>
          </w:p>
          <w:p w:rsidR="006955E4" w:rsidRPr="00986A82" w:rsidRDefault="00D45969" w:rsidP="006955E4">
            <w:pPr>
              <w:pStyle w:val="Heading1"/>
              <w:keepNext w:val="0"/>
              <w:widowControl w:val="0"/>
              <w:jc w:val="left"/>
              <w:rPr>
                <w:rFonts w:ascii="Times New Roman" w:hAnsi="Times New Roman"/>
                <w:b/>
                <w:szCs w:val="28"/>
                <w:lang w:val="nl-NL"/>
              </w:rPr>
            </w:pPr>
            <w:r>
              <w:rPr>
                <w:rFonts w:ascii="Times New Roman" w:hAnsi="Times New Roman"/>
                <w:b/>
                <w:noProof/>
                <w:szCs w:val="28"/>
                <w:lang w:val="en-US"/>
              </w:rPr>
              <mc:AlternateContent>
                <mc:Choice Requires="wps">
                  <w:drawing>
                    <wp:anchor distT="0" distB="0" distL="114300" distR="114300" simplePos="0" relativeHeight="251660288" behindDoc="0" locked="0" layoutInCell="1" allowOverlap="1">
                      <wp:simplePos x="0" y="0"/>
                      <wp:positionH relativeFrom="column">
                        <wp:posOffset>1074420</wp:posOffset>
                      </wp:positionH>
                      <wp:positionV relativeFrom="paragraph">
                        <wp:posOffset>70485</wp:posOffset>
                      </wp:positionV>
                      <wp:extent cx="2006600" cy="0"/>
                      <wp:effectExtent l="10160" t="13335" r="12065"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4.6pt;margin-top:5.55pt;width:1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a0HA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"/>
                  </w:pict>
                </mc:Fallback>
              </mc:AlternateContent>
            </w:r>
          </w:p>
        </w:tc>
      </w:tr>
    </w:tbl>
    <w:p w:rsidR="005E53E8" w:rsidRPr="00986A82" w:rsidRDefault="005E53E8" w:rsidP="006955E4">
      <w:pPr>
        <w:widowControl w:val="0"/>
        <w:spacing w:before="120" w:after="120" w:line="240" w:lineRule="auto"/>
        <w:jc w:val="center"/>
        <w:rPr>
          <w:rFonts w:ascii="Times New Roman" w:hAnsi="Times New Roman" w:cs="Times New Roman"/>
          <w:b/>
          <w:sz w:val="28"/>
          <w:szCs w:val="28"/>
        </w:rPr>
      </w:pPr>
    </w:p>
    <w:p w:rsidR="006A375F" w:rsidRPr="00986A82" w:rsidRDefault="006A375F" w:rsidP="006955E4">
      <w:pPr>
        <w:widowControl w:val="0"/>
        <w:spacing w:before="120" w:after="120" w:line="240" w:lineRule="auto"/>
        <w:jc w:val="center"/>
        <w:rPr>
          <w:rFonts w:ascii="Times New Roman" w:hAnsi="Times New Roman" w:cs="Times New Roman"/>
          <w:b/>
          <w:sz w:val="28"/>
          <w:szCs w:val="28"/>
        </w:rPr>
      </w:pPr>
    </w:p>
    <w:p w:rsidR="006955E4" w:rsidRPr="00986A82" w:rsidRDefault="006955E4" w:rsidP="006955E4">
      <w:pPr>
        <w:widowControl w:val="0"/>
        <w:spacing w:before="120" w:after="120" w:line="240" w:lineRule="auto"/>
        <w:jc w:val="center"/>
        <w:rPr>
          <w:rFonts w:ascii="Times New Roman" w:hAnsi="Times New Roman" w:cs="Times New Roman"/>
          <w:b/>
          <w:sz w:val="28"/>
          <w:szCs w:val="28"/>
        </w:rPr>
      </w:pPr>
      <w:r w:rsidRPr="00986A82">
        <w:rPr>
          <w:rFonts w:ascii="Times New Roman" w:hAnsi="Times New Roman" w:cs="Times New Roman"/>
          <w:b/>
          <w:sz w:val="28"/>
          <w:szCs w:val="28"/>
        </w:rPr>
        <w:t xml:space="preserve">BÁO CÁO ĐÁNH GIÁ TÁC ĐỘNG ĐỀ NGHỊ ĐIỀU CHỈNH </w:t>
      </w:r>
      <w:r w:rsidRPr="00986A82">
        <w:rPr>
          <w:rFonts w:ascii="Times New Roman" w:hAnsi="Times New Roman" w:cs="Times New Roman"/>
          <w:b/>
          <w:sz w:val="28"/>
          <w:szCs w:val="28"/>
        </w:rPr>
        <w:br/>
        <w:t xml:space="preserve">MỨC GIẢM TRỪ GIA CẢNH </w:t>
      </w:r>
      <w:r w:rsidR="0001414E" w:rsidRPr="00986A82">
        <w:rPr>
          <w:rFonts w:ascii="Times New Roman" w:hAnsi="Times New Roman" w:cs="Times New Roman"/>
          <w:b/>
          <w:sz w:val="28"/>
          <w:szCs w:val="28"/>
        </w:rPr>
        <w:t>CỦA</w:t>
      </w:r>
      <w:r w:rsidRPr="00986A82">
        <w:rPr>
          <w:rFonts w:ascii="Times New Roman" w:hAnsi="Times New Roman" w:cs="Times New Roman"/>
          <w:b/>
          <w:sz w:val="28"/>
          <w:szCs w:val="28"/>
        </w:rPr>
        <w:t xml:space="preserve"> THUẾ THU NHẬP CÁ NHÂN</w:t>
      </w:r>
    </w:p>
    <w:p w:rsidR="005E53E8" w:rsidRPr="00986A82" w:rsidRDefault="005E53E8" w:rsidP="006955E4">
      <w:pPr>
        <w:widowControl w:val="0"/>
        <w:spacing w:before="120" w:after="120" w:line="240" w:lineRule="auto"/>
        <w:ind w:firstLine="720"/>
        <w:rPr>
          <w:rFonts w:ascii="Times New Roman" w:hAnsi="Times New Roman" w:cs="Times New Roman"/>
          <w:b/>
          <w:sz w:val="28"/>
          <w:szCs w:val="28"/>
          <w:lang w:val="nl-NL"/>
        </w:rPr>
      </w:pPr>
    </w:p>
    <w:p w:rsidR="006A375F" w:rsidRPr="00986A82" w:rsidRDefault="006A375F" w:rsidP="006955E4">
      <w:pPr>
        <w:widowControl w:val="0"/>
        <w:spacing w:before="120" w:after="120" w:line="240" w:lineRule="auto"/>
        <w:ind w:firstLine="720"/>
        <w:rPr>
          <w:rFonts w:ascii="Times New Roman" w:hAnsi="Times New Roman" w:cs="Times New Roman"/>
          <w:b/>
          <w:sz w:val="28"/>
          <w:szCs w:val="28"/>
          <w:lang w:val="nl-NL"/>
        </w:rPr>
      </w:pPr>
    </w:p>
    <w:p w:rsidR="006955E4" w:rsidRPr="00986A82" w:rsidRDefault="006955E4" w:rsidP="006955E4">
      <w:pPr>
        <w:widowControl w:val="0"/>
        <w:spacing w:before="120" w:after="120" w:line="240" w:lineRule="auto"/>
        <w:ind w:firstLine="720"/>
        <w:rPr>
          <w:rFonts w:ascii="Times New Roman" w:hAnsi="Times New Roman" w:cs="Times New Roman"/>
          <w:b/>
          <w:sz w:val="28"/>
          <w:szCs w:val="28"/>
          <w:lang w:val="nl-NL"/>
        </w:rPr>
      </w:pPr>
      <w:r w:rsidRPr="00986A82">
        <w:rPr>
          <w:rFonts w:ascii="Times New Roman" w:hAnsi="Times New Roman" w:cs="Times New Roman"/>
          <w:b/>
          <w:sz w:val="28"/>
          <w:szCs w:val="28"/>
          <w:lang w:val="nl-NL"/>
        </w:rPr>
        <w:t xml:space="preserve">I. </w:t>
      </w:r>
      <w:r w:rsidRPr="00986A82">
        <w:rPr>
          <w:rFonts w:ascii="Times New Roman" w:hAnsi="Times New Roman" w:cs="Times New Roman"/>
          <w:b/>
          <w:bCs/>
          <w:sz w:val="28"/>
          <w:szCs w:val="28"/>
        </w:rPr>
        <w:t>XÁC Đ</w:t>
      </w:r>
      <w:r w:rsidRPr="00986A82">
        <w:rPr>
          <w:rFonts w:ascii="Times New Roman" w:hAnsi="Times New Roman" w:cs="Times New Roman"/>
          <w:b/>
          <w:bCs/>
          <w:sz w:val="28"/>
          <w:szCs w:val="28"/>
          <w:lang w:val="nl-NL"/>
        </w:rPr>
        <w:t>Ị</w:t>
      </w:r>
      <w:r w:rsidRPr="00986A82">
        <w:rPr>
          <w:rFonts w:ascii="Times New Roman" w:hAnsi="Times New Roman" w:cs="Times New Roman"/>
          <w:b/>
          <w:bCs/>
          <w:sz w:val="28"/>
          <w:szCs w:val="28"/>
        </w:rPr>
        <w:t>NH V</w:t>
      </w:r>
      <w:r w:rsidRPr="00986A82">
        <w:rPr>
          <w:rFonts w:ascii="Times New Roman" w:hAnsi="Times New Roman" w:cs="Times New Roman"/>
          <w:b/>
          <w:bCs/>
          <w:sz w:val="28"/>
          <w:szCs w:val="28"/>
          <w:lang w:val="nl-NL"/>
        </w:rPr>
        <w:t>Ấ</w:t>
      </w:r>
      <w:r w:rsidRPr="00986A82">
        <w:rPr>
          <w:rFonts w:ascii="Times New Roman" w:hAnsi="Times New Roman" w:cs="Times New Roman"/>
          <w:b/>
          <w:bCs/>
          <w:sz w:val="28"/>
          <w:szCs w:val="28"/>
        </w:rPr>
        <w:t>N Đ</w:t>
      </w:r>
      <w:r w:rsidRPr="00986A82">
        <w:rPr>
          <w:rFonts w:ascii="Times New Roman" w:hAnsi="Times New Roman" w:cs="Times New Roman"/>
          <w:b/>
          <w:bCs/>
          <w:sz w:val="28"/>
          <w:szCs w:val="28"/>
          <w:lang w:val="nl-NL"/>
        </w:rPr>
        <w:t>Ề</w:t>
      </w:r>
      <w:r w:rsidRPr="00986A82">
        <w:rPr>
          <w:rFonts w:ascii="Times New Roman" w:hAnsi="Times New Roman" w:cs="Times New Roman"/>
          <w:b/>
          <w:bCs/>
          <w:sz w:val="28"/>
          <w:szCs w:val="28"/>
        </w:rPr>
        <w:t xml:space="preserve"> </w:t>
      </w:r>
    </w:p>
    <w:p w:rsidR="006955E4" w:rsidRPr="00986A82" w:rsidRDefault="006955E4" w:rsidP="006955E4">
      <w:pPr>
        <w:widowControl w:val="0"/>
        <w:spacing w:before="120" w:after="120" w:line="240" w:lineRule="auto"/>
        <w:ind w:firstLine="720"/>
        <w:jc w:val="both"/>
        <w:rPr>
          <w:rFonts w:ascii="Times New Roman" w:hAnsi="Times New Roman" w:cs="Times New Roman"/>
          <w:b/>
          <w:sz w:val="28"/>
          <w:szCs w:val="28"/>
          <w:lang w:val="sv-SE"/>
        </w:rPr>
      </w:pPr>
      <w:r w:rsidRPr="00986A82">
        <w:rPr>
          <w:rFonts w:ascii="Times New Roman" w:hAnsi="Times New Roman" w:cs="Times New Roman"/>
          <w:b/>
          <w:iCs/>
          <w:sz w:val="28"/>
          <w:szCs w:val="28"/>
          <w:lang w:val="nl-NL"/>
        </w:rPr>
        <w:t>1. </w:t>
      </w:r>
      <w:r w:rsidRPr="00986A82">
        <w:rPr>
          <w:rFonts w:ascii="Times New Roman" w:hAnsi="Times New Roman" w:cs="Times New Roman"/>
          <w:b/>
          <w:iCs/>
          <w:sz w:val="28"/>
          <w:szCs w:val="28"/>
        </w:rPr>
        <w:t xml:space="preserve">Bối cảnh </w:t>
      </w:r>
      <w:r w:rsidRPr="00986A82">
        <w:rPr>
          <w:rFonts w:ascii="Times New Roman" w:hAnsi="Times New Roman" w:cs="Times New Roman"/>
          <w:b/>
          <w:iCs/>
          <w:sz w:val="28"/>
          <w:szCs w:val="28"/>
          <w:lang w:val="nl-NL"/>
        </w:rPr>
        <w:t>điều chỉnh</w:t>
      </w:r>
      <w:r w:rsidRPr="00986A82">
        <w:rPr>
          <w:rFonts w:ascii="Times New Roman" w:hAnsi="Times New Roman" w:cs="Times New Roman"/>
          <w:b/>
          <w:iCs/>
          <w:sz w:val="28"/>
          <w:szCs w:val="28"/>
        </w:rPr>
        <w:t xml:space="preserve"> chính sách</w:t>
      </w:r>
      <w:bookmarkStart w:id="0" w:name="_GoBack"/>
      <w:bookmarkEnd w:id="0"/>
    </w:p>
    <w:p w:rsidR="00A241CD" w:rsidRPr="00986A82" w:rsidRDefault="00A241CD" w:rsidP="00A241CD">
      <w:pPr>
        <w:spacing w:before="120" w:after="120" w:line="240" w:lineRule="auto"/>
        <w:ind w:firstLine="720"/>
        <w:jc w:val="both"/>
        <w:rPr>
          <w:rFonts w:ascii="Times New Roman" w:hAnsi="Times New Roman" w:cs="Times New Roman"/>
          <w:sz w:val="28"/>
          <w:szCs w:val="28"/>
          <w:lang w:val="pt-BR"/>
        </w:rPr>
      </w:pPr>
      <w:r w:rsidRPr="00986A82">
        <w:rPr>
          <w:rFonts w:ascii="Times New Roman" w:hAnsi="Times New Roman" w:cs="Times New Roman"/>
          <w:sz w:val="28"/>
          <w:szCs w:val="28"/>
          <w:lang w:val="pt-BR"/>
        </w:rPr>
        <w:t xml:space="preserve">Ngày 21/11/2007, Quốc hội khóa XII tại kỳ họp thứ 2 đã thông qua Luật  thuế thu nhập cá nhân (TNCN) số </w:t>
      </w:r>
      <w:r w:rsidRPr="00986A82">
        <w:rPr>
          <w:rFonts w:ascii="Times New Roman" w:hAnsi="Times New Roman" w:cs="Times New Roman"/>
          <w:sz w:val="28"/>
          <w:szCs w:val="28"/>
          <w:lang w:val="nl-NL"/>
        </w:rPr>
        <w:t>04/2007/QH12</w:t>
      </w:r>
      <w:r w:rsidRPr="00986A82">
        <w:rPr>
          <w:rFonts w:ascii="Times New Roman" w:hAnsi="Times New Roman" w:cs="Times New Roman"/>
          <w:sz w:val="28"/>
          <w:szCs w:val="28"/>
          <w:lang w:val="pt-BR"/>
        </w:rPr>
        <w:t xml:space="preserve">, có hiệu lực thi hành kể từ ngày 01/01/2009. </w:t>
      </w:r>
    </w:p>
    <w:p w:rsidR="00A241CD" w:rsidRPr="00986A82" w:rsidRDefault="00A241CD" w:rsidP="00A241CD">
      <w:pPr>
        <w:spacing w:before="120" w:after="120" w:line="240" w:lineRule="auto"/>
        <w:ind w:firstLine="720"/>
        <w:jc w:val="both"/>
        <w:rPr>
          <w:rFonts w:ascii="Times New Roman" w:eastAsia="Arial" w:hAnsi="Times New Roman" w:cs="Times New Roman"/>
          <w:sz w:val="28"/>
          <w:szCs w:val="28"/>
          <w:lang w:val="nl-NL"/>
        </w:rPr>
      </w:pPr>
      <w:r w:rsidRPr="00986A82">
        <w:rPr>
          <w:rFonts w:ascii="Times New Roman" w:eastAsia="Arial" w:hAnsi="Times New Roman" w:cs="Times New Roman"/>
          <w:color w:val="000000"/>
          <w:sz w:val="28"/>
          <w:szCs w:val="28"/>
          <w:lang w:val="pt-BR"/>
        </w:rPr>
        <w:t xml:space="preserve">Trong quá trình thực hiện, Luật thuế TNCN đã được sửa đổi, bổ sung tại </w:t>
      </w:r>
      <w:r w:rsidRPr="00986A82">
        <w:rPr>
          <w:rFonts w:ascii="Times New Roman" w:eastAsia="Arial" w:hAnsi="Times New Roman" w:cs="Times New Roman"/>
          <w:sz w:val="28"/>
          <w:szCs w:val="28"/>
          <w:lang w:val="nl-NL"/>
        </w:rPr>
        <w:t xml:space="preserve">Luật số 26/2012/QH13 </w:t>
      </w:r>
      <w:r w:rsidRPr="00986A82">
        <w:rPr>
          <w:rFonts w:ascii="Times New Roman" w:eastAsia="Arial" w:hAnsi="Times New Roman" w:cs="Times New Roman"/>
          <w:color w:val="000000"/>
          <w:sz w:val="28"/>
          <w:szCs w:val="28"/>
          <w:lang w:val="pt-BR"/>
        </w:rPr>
        <w:t xml:space="preserve">ngày </w:t>
      </w:r>
      <w:r w:rsidRPr="00986A82">
        <w:rPr>
          <w:rFonts w:ascii="Times New Roman" w:eastAsia="Arial" w:hAnsi="Times New Roman" w:cs="Times New Roman"/>
          <w:color w:val="000000"/>
          <w:sz w:val="28"/>
          <w:szCs w:val="28"/>
          <w:lang w:val="am-ET"/>
        </w:rPr>
        <w:t>22/11/2012</w:t>
      </w:r>
      <w:r w:rsidR="00D81045" w:rsidRPr="00986A82">
        <w:rPr>
          <w:rFonts w:ascii="Times New Roman" w:eastAsia="Arial" w:hAnsi="Times New Roman" w:cs="Times New Roman"/>
          <w:color w:val="000000"/>
          <w:sz w:val="28"/>
          <w:szCs w:val="28"/>
          <w:lang w:val="pt-BR"/>
        </w:rPr>
        <w:t xml:space="preserve"> và </w:t>
      </w:r>
      <w:r w:rsidRPr="00986A82">
        <w:rPr>
          <w:rFonts w:ascii="Times New Roman" w:eastAsia="Arial" w:hAnsi="Times New Roman" w:cs="Times New Roman"/>
          <w:color w:val="000000"/>
          <w:sz w:val="28"/>
          <w:szCs w:val="28"/>
          <w:lang w:val="nl-NL"/>
        </w:rPr>
        <w:t>Luật số 71/2014/QH13 ngày 26/11/2014</w:t>
      </w:r>
      <w:r w:rsidRPr="00986A82">
        <w:rPr>
          <w:rFonts w:ascii="Times New Roman" w:eastAsia="Arial" w:hAnsi="Times New Roman" w:cs="Times New Roman"/>
          <w:sz w:val="28"/>
          <w:szCs w:val="28"/>
          <w:lang w:val="nl-NL"/>
        </w:rPr>
        <w:t xml:space="preserve">. </w:t>
      </w:r>
    </w:p>
    <w:p w:rsidR="00A241CD" w:rsidRPr="00986A82" w:rsidRDefault="00A241CD" w:rsidP="00A241CD">
      <w:pPr>
        <w:spacing w:before="120" w:after="120" w:line="240" w:lineRule="auto"/>
        <w:ind w:firstLine="720"/>
        <w:jc w:val="both"/>
        <w:rPr>
          <w:rFonts w:ascii="Times New Roman" w:eastAsia="Arial" w:hAnsi="Times New Roman" w:cs="Times New Roman"/>
          <w:sz w:val="28"/>
          <w:szCs w:val="28"/>
          <w:lang w:val="nl-NL"/>
        </w:rPr>
      </w:pPr>
      <w:r w:rsidRPr="00986A82">
        <w:rPr>
          <w:rFonts w:ascii="Times New Roman" w:eastAsia="Arial" w:hAnsi="Times New Roman" w:cs="Times New Roman"/>
          <w:sz w:val="28"/>
          <w:szCs w:val="28"/>
          <w:lang w:val="nl-NL"/>
        </w:rPr>
        <w:t xml:space="preserve">Tại khoản 4 Điều 1 Luật số 26/2012/QH13 quy định: </w:t>
      </w:r>
    </w:p>
    <w:p w:rsidR="00A241CD" w:rsidRPr="00986A82" w:rsidRDefault="00A241CD" w:rsidP="00A241CD">
      <w:pPr>
        <w:spacing w:before="120" w:after="120" w:line="240" w:lineRule="auto"/>
        <w:ind w:firstLine="720"/>
        <w:jc w:val="both"/>
        <w:rPr>
          <w:rFonts w:ascii="Times New Roman" w:hAnsi="Times New Roman" w:cs="Times New Roman"/>
          <w:i/>
          <w:sz w:val="28"/>
          <w:szCs w:val="28"/>
        </w:rPr>
      </w:pPr>
      <w:r w:rsidRPr="00986A82">
        <w:rPr>
          <w:rFonts w:ascii="Times New Roman" w:hAnsi="Times New Roman" w:cs="Times New Roman"/>
          <w:i/>
          <w:sz w:val="28"/>
          <w:szCs w:val="28"/>
          <w:lang w:val="nl-NL"/>
        </w:rPr>
        <w:t>“</w:t>
      </w:r>
      <w:r w:rsidRPr="00986A82">
        <w:rPr>
          <w:rFonts w:ascii="Times New Roman" w:hAnsi="Times New Roman" w:cs="Times New Roman"/>
          <w:i/>
          <w:sz w:val="28"/>
          <w:szCs w:val="28"/>
        </w:rPr>
        <w:t xml:space="preserve">Giảm trừ gia cảnh </w:t>
      </w:r>
      <w:r w:rsidR="009B4052" w:rsidRPr="00986A82">
        <w:rPr>
          <w:rFonts w:ascii="Times New Roman" w:hAnsi="Times New Roman" w:cs="Times New Roman"/>
          <w:i/>
          <w:sz w:val="28"/>
          <w:szCs w:val="28"/>
          <w:lang w:val="nl-NL"/>
        </w:rPr>
        <w:t xml:space="preserve">(GTGC) </w:t>
      </w:r>
      <w:r w:rsidRPr="00986A82">
        <w:rPr>
          <w:rFonts w:ascii="Times New Roman" w:hAnsi="Times New Roman" w:cs="Times New Roman"/>
          <w:i/>
          <w:sz w:val="28"/>
          <w:szCs w:val="28"/>
        </w:rPr>
        <w:t>là số tiền được trừ vào thu nhập chịu thuế trước k</w:t>
      </w:r>
      <w:r w:rsidRPr="00986A82">
        <w:rPr>
          <w:rFonts w:ascii="Times New Roman" w:hAnsi="Times New Roman" w:cs="Times New Roman"/>
          <w:i/>
          <w:sz w:val="28"/>
          <w:szCs w:val="28"/>
          <w:lang w:val="nl-NL"/>
        </w:rPr>
        <w:t xml:space="preserve">hi </w:t>
      </w:r>
      <w:r w:rsidRPr="00986A82">
        <w:rPr>
          <w:rFonts w:ascii="Times New Roman" w:hAnsi="Times New Roman" w:cs="Times New Roman"/>
          <w:i/>
          <w:sz w:val="28"/>
          <w:szCs w:val="28"/>
        </w:rPr>
        <w:t>tính thuế đối v</w:t>
      </w:r>
      <w:r w:rsidRPr="00986A82">
        <w:rPr>
          <w:rFonts w:ascii="Times New Roman" w:hAnsi="Times New Roman" w:cs="Times New Roman"/>
          <w:i/>
          <w:sz w:val="28"/>
          <w:szCs w:val="28"/>
          <w:lang w:val="nl-NL"/>
        </w:rPr>
        <w:t>ớ</w:t>
      </w:r>
      <w:r w:rsidRPr="00986A82">
        <w:rPr>
          <w:rFonts w:ascii="Times New Roman" w:hAnsi="Times New Roman" w:cs="Times New Roman"/>
          <w:i/>
          <w:sz w:val="28"/>
          <w:szCs w:val="28"/>
        </w:rPr>
        <w:t xml:space="preserve">i thu nhập từ kinh doanh, tiền lương, tiền công của </w:t>
      </w:r>
      <w:r w:rsidRPr="00986A82">
        <w:rPr>
          <w:rFonts w:ascii="Times New Roman" w:hAnsi="Times New Roman" w:cs="Times New Roman"/>
          <w:i/>
          <w:sz w:val="28"/>
          <w:szCs w:val="28"/>
          <w:lang w:val="nl-NL"/>
        </w:rPr>
        <w:t>đ</w:t>
      </w:r>
      <w:r w:rsidRPr="00986A82">
        <w:rPr>
          <w:rFonts w:ascii="Times New Roman" w:hAnsi="Times New Roman" w:cs="Times New Roman"/>
          <w:i/>
          <w:sz w:val="28"/>
          <w:szCs w:val="28"/>
        </w:rPr>
        <w:t>ối tượng nộp thuế là cá nhân cư trú. Giảm trừ gia cảnh gồm hai phần sau đây:</w:t>
      </w:r>
    </w:p>
    <w:p w:rsidR="00A241CD" w:rsidRPr="00986A82" w:rsidRDefault="00A241CD" w:rsidP="00A241CD">
      <w:pPr>
        <w:pStyle w:val="NormalWeb"/>
        <w:spacing w:before="120" w:beforeAutospacing="0" w:after="120" w:afterAutospacing="0"/>
        <w:ind w:firstLine="720"/>
        <w:jc w:val="both"/>
        <w:rPr>
          <w:i/>
          <w:sz w:val="28"/>
          <w:szCs w:val="28"/>
          <w:lang w:val="vi-VN"/>
        </w:rPr>
      </w:pPr>
      <w:r w:rsidRPr="00986A82">
        <w:rPr>
          <w:i/>
          <w:sz w:val="28"/>
          <w:szCs w:val="28"/>
          <w:lang w:val="vi-VN"/>
        </w:rPr>
        <w:t>a) Mức giảm trừ đối với đối tượng nộp thuế là 9 triệu đồng/tháng (108 triệu đồng/năm);</w:t>
      </w:r>
    </w:p>
    <w:p w:rsidR="00A241CD" w:rsidRPr="00986A82" w:rsidRDefault="00A241CD" w:rsidP="00A241CD">
      <w:pPr>
        <w:pStyle w:val="NormalWeb"/>
        <w:spacing w:before="120" w:beforeAutospacing="0" w:after="120" w:afterAutospacing="0"/>
        <w:ind w:firstLine="720"/>
        <w:jc w:val="both"/>
        <w:rPr>
          <w:i/>
          <w:sz w:val="28"/>
          <w:szCs w:val="28"/>
          <w:lang w:val="vi-VN"/>
        </w:rPr>
      </w:pPr>
      <w:r w:rsidRPr="00986A82">
        <w:rPr>
          <w:i/>
          <w:sz w:val="28"/>
          <w:szCs w:val="28"/>
          <w:lang w:val="vi-VN"/>
        </w:rPr>
        <w:t>b) Mức giảm trừ đối với mỗi người phụ thuộc là 3,6 triệu đồng/tháng.</w:t>
      </w:r>
    </w:p>
    <w:p w:rsidR="00A241CD" w:rsidRPr="00986A82" w:rsidRDefault="00A241CD" w:rsidP="00A241CD">
      <w:pPr>
        <w:pStyle w:val="NormalWeb"/>
        <w:spacing w:before="120" w:beforeAutospacing="0" w:after="120" w:afterAutospacing="0"/>
        <w:ind w:firstLine="709"/>
        <w:jc w:val="both"/>
        <w:rPr>
          <w:i/>
          <w:sz w:val="28"/>
          <w:szCs w:val="28"/>
          <w:lang w:val="nl-NL"/>
        </w:rPr>
      </w:pPr>
      <w:r w:rsidRPr="00986A82">
        <w:rPr>
          <w:i/>
          <w:sz w:val="28"/>
          <w:szCs w:val="28"/>
          <w:lang w:val="nl-NL"/>
        </w:rPr>
        <w:t>Trường hợp chỉ số giá tiêu dùng (CPI) biến động trên 20% so với thời điểm Luật có hiệu lực thi hành hoặc thời điểm điều chỉnh mức giảm trừ gia cảnh gần nhất thì Chính phủ trình Ủy ban thường vụ Quốc hội điều chỉnh mức giảm trừ gia cảnh quy định tại khoản này phù hợp với biến động của giá cả để áp dụng cho kỳ tính thuế tiếp theo.”.</w:t>
      </w:r>
      <w:r w:rsidR="00942073" w:rsidRPr="00986A82">
        <w:rPr>
          <w:rStyle w:val="FootnoteReference"/>
          <w:i/>
          <w:sz w:val="28"/>
          <w:szCs w:val="28"/>
          <w:lang w:val="nl-NL"/>
        </w:rPr>
        <w:footnoteReference w:id="1"/>
      </w:r>
    </w:p>
    <w:p w:rsidR="006955E4" w:rsidRPr="00986A82" w:rsidRDefault="006955E4" w:rsidP="006955E4">
      <w:pPr>
        <w:widowControl w:val="0"/>
        <w:spacing w:before="120" w:after="120" w:line="240" w:lineRule="auto"/>
        <w:ind w:firstLine="720"/>
        <w:jc w:val="both"/>
        <w:rPr>
          <w:rFonts w:ascii="Times New Roman" w:hAnsi="Times New Roman" w:cs="Times New Roman"/>
          <w:sz w:val="28"/>
          <w:szCs w:val="28"/>
          <w:lang w:val="pt-BR"/>
        </w:rPr>
      </w:pPr>
      <w:r w:rsidRPr="00986A82">
        <w:rPr>
          <w:rFonts w:ascii="Times New Roman" w:hAnsi="Times New Roman" w:cs="Times New Roman"/>
          <w:sz w:val="28"/>
          <w:szCs w:val="28"/>
          <w:lang w:val="pt-BR"/>
        </w:rPr>
        <w:t xml:space="preserve">Kể từ khi Luật sửa đổi, bổ sung một số điều của Luật thuế TNCN số 26/2012/QH13 có hiệu lực (01/7/2013) cho đến thời điểm </w:t>
      </w:r>
      <w:r w:rsidR="0001414E" w:rsidRPr="00986A82">
        <w:rPr>
          <w:rFonts w:ascii="Times New Roman" w:hAnsi="Times New Roman" w:cs="Times New Roman"/>
          <w:sz w:val="28"/>
          <w:szCs w:val="28"/>
          <w:lang w:val="pt-BR"/>
        </w:rPr>
        <w:t xml:space="preserve">hết </w:t>
      </w:r>
      <w:r w:rsidRPr="00986A82">
        <w:rPr>
          <w:rFonts w:ascii="Times New Roman" w:hAnsi="Times New Roman" w:cs="Times New Roman"/>
          <w:sz w:val="28"/>
          <w:szCs w:val="28"/>
          <w:lang w:val="pt-BR"/>
        </w:rPr>
        <w:t>tháng 1</w:t>
      </w:r>
      <w:r w:rsidR="0001414E" w:rsidRPr="00986A82">
        <w:rPr>
          <w:rFonts w:ascii="Times New Roman" w:hAnsi="Times New Roman" w:cs="Times New Roman"/>
          <w:sz w:val="28"/>
          <w:szCs w:val="28"/>
          <w:lang w:val="pt-BR"/>
        </w:rPr>
        <w:t>2</w:t>
      </w:r>
      <w:r w:rsidRPr="00986A82">
        <w:rPr>
          <w:rFonts w:ascii="Times New Roman" w:hAnsi="Times New Roman" w:cs="Times New Roman"/>
          <w:sz w:val="28"/>
          <w:szCs w:val="28"/>
          <w:lang w:val="pt-BR"/>
        </w:rPr>
        <w:t>/2019, CPI đã tăng 2</w:t>
      </w:r>
      <w:r w:rsidR="0001414E" w:rsidRPr="00986A82">
        <w:rPr>
          <w:rFonts w:ascii="Times New Roman" w:hAnsi="Times New Roman" w:cs="Times New Roman"/>
          <w:sz w:val="28"/>
          <w:szCs w:val="28"/>
          <w:lang w:val="pt-BR"/>
        </w:rPr>
        <w:t>3</w:t>
      </w:r>
      <w:r w:rsidRPr="00986A82">
        <w:rPr>
          <w:rFonts w:ascii="Times New Roman" w:hAnsi="Times New Roman" w:cs="Times New Roman"/>
          <w:sz w:val="28"/>
          <w:szCs w:val="28"/>
          <w:lang w:val="pt-BR"/>
        </w:rPr>
        <w:t>,</w:t>
      </w:r>
      <w:r w:rsidR="0001414E" w:rsidRPr="00986A82">
        <w:rPr>
          <w:rFonts w:ascii="Times New Roman" w:hAnsi="Times New Roman" w:cs="Times New Roman"/>
          <w:sz w:val="28"/>
          <w:szCs w:val="28"/>
          <w:lang w:val="pt-BR"/>
        </w:rPr>
        <w:t>2</w:t>
      </w:r>
      <w:r w:rsidRPr="00986A82">
        <w:rPr>
          <w:rFonts w:ascii="Times New Roman" w:hAnsi="Times New Roman" w:cs="Times New Roman"/>
          <w:sz w:val="28"/>
          <w:szCs w:val="28"/>
          <w:lang w:val="pt-BR"/>
        </w:rPr>
        <w:t xml:space="preserve">% (theo số liệu của Tổng cục Thống kê). Như vậy, căn cứ theo quy định tại Luật sửa đổi, bổ sung một số điều của Luật thuế TNCN số 26/2012/QH13 </w:t>
      </w:r>
      <w:r w:rsidRPr="00986A82">
        <w:rPr>
          <w:rFonts w:ascii="Times New Roman" w:hAnsi="Times New Roman" w:cs="Times New Roman"/>
          <w:sz w:val="28"/>
          <w:szCs w:val="28"/>
          <w:lang w:val="pt-BR"/>
        </w:rPr>
        <w:lastRenderedPageBreak/>
        <w:t xml:space="preserve">như đã nêu trên, việc điều chỉnh mức </w:t>
      </w:r>
      <w:r w:rsidR="00054409" w:rsidRPr="00986A82">
        <w:rPr>
          <w:rFonts w:ascii="Times New Roman" w:hAnsi="Times New Roman" w:cs="Times New Roman"/>
          <w:sz w:val="28"/>
          <w:szCs w:val="28"/>
          <w:lang w:val="pt-BR"/>
        </w:rPr>
        <w:t>GTGC</w:t>
      </w:r>
      <w:r w:rsidRPr="00986A82">
        <w:rPr>
          <w:rFonts w:ascii="Times New Roman" w:hAnsi="Times New Roman" w:cs="Times New Roman"/>
          <w:sz w:val="28"/>
          <w:szCs w:val="28"/>
          <w:lang w:val="pt-BR"/>
        </w:rPr>
        <w:t xml:space="preserve"> cho phù hợp với mức biến động của giá cả là phù hợp với Luật định và cần thiết trong bối cảnh kinh tế - xã hội hiện nay. Thời gian áp dụng mức </w:t>
      </w:r>
      <w:r w:rsidR="00054409" w:rsidRPr="00986A82">
        <w:rPr>
          <w:rFonts w:ascii="Times New Roman" w:hAnsi="Times New Roman" w:cs="Times New Roman"/>
          <w:sz w:val="28"/>
          <w:szCs w:val="28"/>
          <w:lang w:val="pt-BR"/>
        </w:rPr>
        <w:t>GTGC</w:t>
      </w:r>
      <w:r w:rsidRPr="00986A82">
        <w:rPr>
          <w:rFonts w:ascii="Times New Roman" w:hAnsi="Times New Roman" w:cs="Times New Roman"/>
          <w:sz w:val="28"/>
          <w:szCs w:val="28"/>
          <w:lang w:val="pt-BR"/>
        </w:rPr>
        <w:t xml:space="preserve"> mới </w:t>
      </w:r>
      <w:r w:rsidR="009B4052" w:rsidRPr="00986A82">
        <w:rPr>
          <w:rFonts w:ascii="Times New Roman" w:hAnsi="Times New Roman" w:cs="Times New Roman"/>
          <w:sz w:val="28"/>
          <w:szCs w:val="28"/>
          <w:lang w:val="pt-BR"/>
        </w:rPr>
        <w:t xml:space="preserve">kể </w:t>
      </w:r>
      <w:r w:rsidRPr="00986A82">
        <w:rPr>
          <w:rFonts w:ascii="Times New Roman" w:hAnsi="Times New Roman" w:cs="Times New Roman"/>
          <w:sz w:val="28"/>
          <w:szCs w:val="28"/>
          <w:lang w:val="pt-BR"/>
        </w:rPr>
        <w:t xml:space="preserve">từ </w:t>
      </w:r>
      <w:r w:rsidR="00A241CD" w:rsidRPr="00986A82">
        <w:rPr>
          <w:rFonts w:ascii="Times New Roman" w:hAnsi="Times New Roman" w:cs="Times New Roman"/>
          <w:sz w:val="28"/>
          <w:szCs w:val="28"/>
          <w:lang w:val="pt-BR"/>
        </w:rPr>
        <w:t>kỳ tính thuế năm 2020</w:t>
      </w:r>
      <w:r w:rsidRPr="00986A82">
        <w:rPr>
          <w:rFonts w:ascii="Times New Roman" w:hAnsi="Times New Roman" w:cs="Times New Roman"/>
          <w:sz w:val="28"/>
          <w:szCs w:val="28"/>
          <w:lang w:val="pt-BR"/>
        </w:rPr>
        <w:t>.</w:t>
      </w:r>
    </w:p>
    <w:p w:rsidR="006955E4" w:rsidRPr="00986A82" w:rsidRDefault="006955E4" w:rsidP="006955E4">
      <w:pPr>
        <w:pStyle w:val="NormalWeb"/>
        <w:shd w:val="clear" w:color="auto" w:fill="FFFFFF"/>
        <w:spacing w:before="120" w:beforeAutospacing="0" w:after="120" w:afterAutospacing="0"/>
        <w:ind w:firstLine="709"/>
        <w:rPr>
          <w:b/>
          <w:sz w:val="28"/>
          <w:szCs w:val="28"/>
          <w:lang w:val="pt-BR"/>
        </w:rPr>
      </w:pPr>
      <w:r w:rsidRPr="00986A82">
        <w:rPr>
          <w:b/>
          <w:iCs/>
          <w:sz w:val="28"/>
          <w:szCs w:val="28"/>
          <w:lang w:val="pt-BR"/>
        </w:rPr>
        <w:t>2. </w:t>
      </w:r>
      <w:r w:rsidRPr="00986A82">
        <w:rPr>
          <w:b/>
          <w:iCs/>
          <w:sz w:val="28"/>
          <w:szCs w:val="28"/>
          <w:lang w:val="vi-VN"/>
        </w:rPr>
        <w:t xml:space="preserve">Mục tiêu </w:t>
      </w:r>
      <w:r w:rsidRPr="00986A82">
        <w:rPr>
          <w:b/>
          <w:iCs/>
          <w:sz w:val="28"/>
          <w:szCs w:val="28"/>
          <w:lang w:val="pt-BR"/>
        </w:rPr>
        <w:t>điều chỉnh</w:t>
      </w:r>
      <w:r w:rsidRPr="00986A82">
        <w:rPr>
          <w:b/>
          <w:iCs/>
          <w:sz w:val="28"/>
          <w:szCs w:val="28"/>
          <w:lang w:val="vi-VN"/>
        </w:rPr>
        <w:t xml:space="preserve"> ch</w:t>
      </w:r>
      <w:r w:rsidRPr="00986A82">
        <w:rPr>
          <w:b/>
          <w:iCs/>
          <w:sz w:val="28"/>
          <w:szCs w:val="28"/>
          <w:lang w:val="pt-BR"/>
        </w:rPr>
        <w:t>í</w:t>
      </w:r>
      <w:r w:rsidRPr="00986A82">
        <w:rPr>
          <w:b/>
          <w:iCs/>
          <w:sz w:val="28"/>
          <w:szCs w:val="28"/>
          <w:lang w:val="vi-VN"/>
        </w:rPr>
        <w:t>nh sách</w:t>
      </w:r>
    </w:p>
    <w:p w:rsidR="006955E4" w:rsidRPr="00986A82" w:rsidRDefault="006955E4" w:rsidP="006955E4">
      <w:pPr>
        <w:pStyle w:val="NormalWeb"/>
        <w:spacing w:before="120" w:beforeAutospacing="0" w:after="120" w:afterAutospacing="0"/>
        <w:ind w:firstLine="720"/>
        <w:jc w:val="both"/>
        <w:rPr>
          <w:bCs/>
          <w:iCs/>
          <w:sz w:val="28"/>
          <w:szCs w:val="28"/>
          <w:lang w:val="pt-BR"/>
        </w:rPr>
      </w:pPr>
      <w:r w:rsidRPr="00986A82">
        <w:rPr>
          <w:sz w:val="28"/>
          <w:szCs w:val="28"/>
          <w:lang w:val="pt-BR"/>
        </w:rPr>
        <w:t>V</w:t>
      </w:r>
      <w:r w:rsidRPr="00986A82">
        <w:rPr>
          <w:bCs/>
          <w:iCs/>
          <w:sz w:val="28"/>
          <w:szCs w:val="28"/>
          <w:lang w:val="pt-BR"/>
        </w:rPr>
        <w:t xml:space="preserve">iệc điều chỉnh mức </w:t>
      </w:r>
      <w:r w:rsidR="00054409" w:rsidRPr="00986A82">
        <w:rPr>
          <w:bCs/>
          <w:iCs/>
          <w:sz w:val="28"/>
          <w:szCs w:val="28"/>
          <w:lang w:val="pt-BR"/>
        </w:rPr>
        <w:t>GTGC</w:t>
      </w:r>
      <w:r w:rsidRPr="00986A82">
        <w:rPr>
          <w:bCs/>
          <w:iCs/>
          <w:sz w:val="28"/>
          <w:szCs w:val="28"/>
          <w:lang w:val="pt-BR"/>
        </w:rPr>
        <w:t xml:space="preserve"> tính thuế TNCN nhằm đạt các mục tiêu</w:t>
      </w:r>
      <w:r w:rsidR="009B4052" w:rsidRPr="00986A82">
        <w:rPr>
          <w:bCs/>
          <w:iCs/>
          <w:sz w:val="28"/>
          <w:szCs w:val="28"/>
          <w:lang w:val="pt-BR"/>
        </w:rPr>
        <w:t xml:space="preserve"> </w:t>
      </w:r>
      <w:r w:rsidRPr="00986A82">
        <w:rPr>
          <w:bCs/>
          <w:iCs/>
          <w:sz w:val="28"/>
          <w:szCs w:val="28"/>
          <w:lang w:val="pt-BR"/>
        </w:rPr>
        <w:t>sau:</w:t>
      </w:r>
    </w:p>
    <w:p w:rsidR="00A241CD" w:rsidRPr="00986A82" w:rsidRDefault="008A1012" w:rsidP="00A241CD">
      <w:pPr>
        <w:spacing w:before="120" w:after="120" w:line="240" w:lineRule="auto"/>
        <w:ind w:firstLine="720"/>
        <w:jc w:val="both"/>
        <w:rPr>
          <w:rFonts w:ascii="Times New Roman" w:hAnsi="Times New Roman" w:cs="Times New Roman"/>
          <w:sz w:val="28"/>
          <w:szCs w:val="28"/>
          <w:lang w:val="nl-NL"/>
        </w:rPr>
      </w:pPr>
      <w:r w:rsidRPr="00986A82">
        <w:rPr>
          <w:rFonts w:ascii="Times New Roman" w:hAnsi="Times New Roman" w:cs="Times New Roman"/>
          <w:sz w:val="28"/>
          <w:szCs w:val="28"/>
          <w:lang w:val="pt-BR"/>
        </w:rPr>
        <w:t>-</w:t>
      </w:r>
      <w:r w:rsidR="00A241CD" w:rsidRPr="00986A82">
        <w:rPr>
          <w:rFonts w:ascii="Times New Roman" w:hAnsi="Times New Roman" w:cs="Times New Roman"/>
          <w:sz w:val="28"/>
          <w:szCs w:val="28"/>
          <w:lang w:val="nb-NO"/>
        </w:rPr>
        <w:t xml:space="preserve"> </w:t>
      </w:r>
      <w:r w:rsidR="00A241CD" w:rsidRPr="00986A82">
        <w:rPr>
          <w:rFonts w:ascii="Times New Roman" w:hAnsi="Times New Roman" w:cs="Times New Roman"/>
          <w:sz w:val="28"/>
          <w:szCs w:val="28"/>
          <w:lang w:val="nl-NL"/>
        </w:rPr>
        <w:t xml:space="preserve">Thực hiện đúng quy định tại </w:t>
      </w:r>
      <w:r w:rsidR="00A241CD" w:rsidRPr="00986A82">
        <w:rPr>
          <w:rFonts w:ascii="Times New Roman" w:eastAsia="Arial" w:hAnsi="Times New Roman" w:cs="Times New Roman"/>
          <w:sz w:val="28"/>
          <w:szCs w:val="28"/>
          <w:lang w:val="nl-NL"/>
        </w:rPr>
        <w:t>khoản 4 Điều 1 Luật số 26/2012/QH13.</w:t>
      </w:r>
    </w:p>
    <w:p w:rsidR="00A241CD" w:rsidRPr="00986A82" w:rsidRDefault="008A1012" w:rsidP="00A241CD">
      <w:pPr>
        <w:spacing w:before="120" w:after="120" w:line="240" w:lineRule="auto"/>
        <w:ind w:firstLine="720"/>
        <w:jc w:val="both"/>
        <w:rPr>
          <w:rFonts w:ascii="Times New Roman" w:hAnsi="Times New Roman" w:cs="Times New Roman"/>
          <w:sz w:val="28"/>
          <w:szCs w:val="28"/>
          <w:lang w:val="nl-NL"/>
        </w:rPr>
      </w:pPr>
      <w:r w:rsidRPr="00986A82">
        <w:rPr>
          <w:rFonts w:ascii="Times New Roman" w:hAnsi="Times New Roman" w:cs="Times New Roman"/>
          <w:sz w:val="28"/>
          <w:szCs w:val="28"/>
          <w:lang w:val="pl-PL"/>
        </w:rPr>
        <w:t>-</w:t>
      </w:r>
      <w:r w:rsidR="00A241CD" w:rsidRPr="00986A82">
        <w:rPr>
          <w:rFonts w:ascii="Times New Roman" w:hAnsi="Times New Roman" w:cs="Times New Roman"/>
          <w:sz w:val="28"/>
          <w:szCs w:val="28"/>
          <w:lang w:val="pl-PL"/>
        </w:rPr>
        <w:t xml:space="preserve"> Phù hợp với tình hình kinh tế - xã hội, sự biến động của giá cả </w:t>
      </w:r>
      <w:r w:rsidR="00A241CD" w:rsidRPr="00986A82">
        <w:rPr>
          <w:rFonts w:ascii="Times New Roman" w:hAnsi="Times New Roman" w:cs="Times New Roman"/>
          <w:sz w:val="28"/>
          <w:szCs w:val="28"/>
          <w:lang w:val="nl-NL"/>
        </w:rPr>
        <w:t xml:space="preserve">từ thời điểm Luật số 26/2012/QH13 có hiệu lực thi hành đến thời điểm điều chỉnh.  </w:t>
      </w:r>
    </w:p>
    <w:p w:rsidR="006955E4" w:rsidRPr="00986A82" w:rsidRDefault="006955E4" w:rsidP="006955E4">
      <w:pPr>
        <w:widowControl w:val="0"/>
        <w:spacing w:before="120" w:after="120" w:line="240" w:lineRule="auto"/>
        <w:ind w:firstLine="720"/>
        <w:jc w:val="both"/>
        <w:rPr>
          <w:rFonts w:ascii="Times New Roman" w:hAnsi="Times New Roman" w:cs="Times New Roman"/>
          <w:b/>
          <w:sz w:val="28"/>
          <w:szCs w:val="28"/>
          <w:lang w:val="nl-NL"/>
        </w:rPr>
      </w:pPr>
      <w:r w:rsidRPr="00986A82">
        <w:rPr>
          <w:rFonts w:ascii="Times New Roman" w:hAnsi="Times New Roman" w:cs="Times New Roman"/>
          <w:b/>
          <w:sz w:val="28"/>
          <w:szCs w:val="28"/>
          <w:lang w:val="nl-NL"/>
        </w:rPr>
        <w:t>I</w:t>
      </w:r>
      <w:r w:rsidRPr="00986A82">
        <w:rPr>
          <w:rFonts w:ascii="Times New Roman" w:hAnsi="Times New Roman" w:cs="Times New Roman"/>
          <w:b/>
          <w:sz w:val="28"/>
          <w:szCs w:val="28"/>
          <w:lang w:val="am-ET"/>
        </w:rPr>
        <w:t>I</w:t>
      </w:r>
      <w:r w:rsidRPr="00986A82">
        <w:rPr>
          <w:rFonts w:ascii="Times New Roman" w:hAnsi="Times New Roman" w:cs="Times New Roman"/>
          <w:b/>
          <w:sz w:val="28"/>
          <w:szCs w:val="28"/>
          <w:lang w:val="nl-NL"/>
        </w:rPr>
        <w:t>. Đ</w:t>
      </w:r>
      <w:r w:rsidRPr="00986A82">
        <w:rPr>
          <w:rFonts w:ascii="Times New Roman" w:hAnsi="Times New Roman" w:cs="Times New Roman"/>
          <w:b/>
          <w:sz w:val="28"/>
          <w:szCs w:val="28"/>
          <w:lang w:val="am-ET"/>
        </w:rPr>
        <w:t>ÁNH GIÁ TÁC Đ</w:t>
      </w:r>
      <w:r w:rsidRPr="00986A82">
        <w:rPr>
          <w:rFonts w:ascii="Times New Roman" w:hAnsi="Times New Roman" w:cs="Times New Roman"/>
          <w:b/>
          <w:sz w:val="28"/>
          <w:szCs w:val="28"/>
          <w:lang w:val="nl-NL"/>
        </w:rPr>
        <w:t>Ộ</w:t>
      </w:r>
      <w:r w:rsidRPr="00986A82">
        <w:rPr>
          <w:rFonts w:ascii="Times New Roman" w:hAnsi="Times New Roman" w:cs="Times New Roman"/>
          <w:b/>
          <w:sz w:val="28"/>
          <w:szCs w:val="28"/>
          <w:lang w:val="am-ET"/>
        </w:rPr>
        <w:t>NG C</w:t>
      </w:r>
      <w:r w:rsidRPr="00986A82">
        <w:rPr>
          <w:rFonts w:ascii="Times New Roman" w:hAnsi="Times New Roman" w:cs="Times New Roman"/>
          <w:b/>
          <w:sz w:val="28"/>
          <w:szCs w:val="28"/>
          <w:lang w:val="nl-NL"/>
        </w:rPr>
        <w:t>ỦA CHÍNH SÁCH ĐỀ XUẤT</w:t>
      </w:r>
    </w:p>
    <w:p w:rsidR="00A241CD" w:rsidRPr="00986A82" w:rsidRDefault="00A241CD" w:rsidP="005816EA">
      <w:pPr>
        <w:spacing w:before="120" w:after="120" w:line="240" w:lineRule="auto"/>
        <w:ind w:firstLine="720"/>
        <w:jc w:val="both"/>
        <w:rPr>
          <w:rFonts w:ascii="Times New Roman" w:hAnsi="Times New Roman" w:cs="Times New Roman"/>
          <w:sz w:val="28"/>
          <w:szCs w:val="28"/>
          <w:lang w:val="nl-NL"/>
        </w:rPr>
      </w:pPr>
      <w:r w:rsidRPr="00986A82">
        <w:rPr>
          <w:rFonts w:ascii="Times New Roman" w:hAnsi="Times New Roman" w:cs="Times New Roman"/>
          <w:sz w:val="28"/>
          <w:szCs w:val="28"/>
          <w:lang w:val="nl-NL"/>
        </w:rPr>
        <w:t>Căn cứ quy định tại khoản 4 Điều 1 Luật số 26/2012/QH13, việc điều chỉnh nâng mức GTGC phù hợp với biến động của chỉ số CPI theo đúng quy định tại Luật từ thời điểm 01/7/2013 (thời điểm Luật số 26/2012/QH13 có hiệu lực thi hành)</w:t>
      </w:r>
      <w:r w:rsidR="005816EA" w:rsidRPr="00986A82">
        <w:rPr>
          <w:rFonts w:ascii="Times New Roman" w:hAnsi="Times New Roman" w:cs="Times New Roman"/>
          <w:sz w:val="28"/>
          <w:szCs w:val="28"/>
          <w:lang w:val="nl-NL"/>
        </w:rPr>
        <w:t xml:space="preserve"> đến hết tháng 12/2019</w:t>
      </w:r>
      <w:r w:rsidRPr="00986A82">
        <w:rPr>
          <w:rFonts w:ascii="Times New Roman" w:hAnsi="Times New Roman" w:cs="Times New Roman"/>
          <w:sz w:val="28"/>
          <w:szCs w:val="28"/>
          <w:lang w:val="nl-NL"/>
        </w:rPr>
        <w:t xml:space="preserve">, theo đó: </w:t>
      </w:r>
    </w:p>
    <w:p w:rsidR="00A241CD" w:rsidRPr="00986A82" w:rsidRDefault="00A241CD" w:rsidP="00A241CD">
      <w:pPr>
        <w:spacing w:before="120" w:after="120" w:line="240" w:lineRule="auto"/>
        <w:ind w:firstLine="720"/>
        <w:jc w:val="both"/>
        <w:rPr>
          <w:rFonts w:ascii="Times New Roman" w:hAnsi="Times New Roman" w:cs="Times New Roman"/>
          <w:sz w:val="28"/>
          <w:szCs w:val="28"/>
          <w:lang w:val="nl-NL"/>
        </w:rPr>
      </w:pPr>
      <w:r w:rsidRPr="00986A82">
        <w:rPr>
          <w:rFonts w:ascii="Times New Roman" w:hAnsi="Times New Roman" w:cs="Times New Roman"/>
          <w:sz w:val="28"/>
          <w:szCs w:val="28"/>
          <w:lang w:val="nl-NL"/>
        </w:rPr>
        <w:t>Điều chỉnh nâng mức giảm trừ cho bản thân người nộp thuế lên mức 11 triệu đồng/tháng {1,232 (x) 9 triệu đồng = 11,088 triệu đồng, làm tròn 11 triệu đồng)}, tương ứng cho mỗi người phụ thuộc 4,4 triệu đồng/tháng {1,232 (x) 3,6 triệu đồng = 4,4352 triệu đồng, làm tròn 4,4 triệu đồng}.</w:t>
      </w:r>
    </w:p>
    <w:p w:rsidR="00035974" w:rsidRPr="00986A82" w:rsidRDefault="00035974" w:rsidP="00035974">
      <w:pPr>
        <w:widowControl w:val="0"/>
        <w:spacing w:before="120" w:after="120" w:line="240" w:lineRule="auto"/>
        <w:ind w:firstLine="720"/>
        <w:jc w:val="both"/>
        <w:rPr>
          <w:rFonts w:ascii="Times New Roman" w:hAnsi="Times New Roman" w:cs="Times New Roman"/>
          <w:b/>
          <w:sz w:val="28"/>
          <w:szCs w:val="28"/>
          <w:lang w:val="nl-NL"/>
        </w:rPr>
      </w:pPr>
      <w:r w:rsidRPr="00986A82">
        <w:rPr>
          <w:rFonts w:ascii="Times New Roman" w:hAnsi="Times New Roman" w:cs="Times New Roman"/>
          <w:b/>
          <w:sz w:val="28"/>
          <w:szCs w:val="28"/>
          <w:lang w:val="nl-NL"/>
        </w:rPr>
        <w:t>- Tác động tích cực</w:t>
      </w:r>
    </w:p>
    <w:p w:rsidR="00035974" w:rsidRPr="00986A82" w:rsidRDefault="00035974" w:rsidP="00035974">
      <w:pPr>
        <w:widowControl w:val="0"/>
        <w:spacing w:before="120" w:after="120" w:line="240" w:lineRule="auto"/>
        <w:ind w:firstLine="720"/>
        <w:jc w:val="both"/>
        <w:rPr>
          <w:rFonts w:ascii="Times New Roman" w:hAnsi="Times New Roman" w:cs="Times New Roman"/>
          <w:sz w:val="28"/>
          <w:szCs w:val="28"/>
          <w:lang w:val="nl-NL"/>
        </w:rPr>
      </w:pPr>
      <w:r w:rsidRPr="00986A82">
        <w:rPr>
          <w:rFonts w:ascii="Times New Roman" w:hAnsi="Times New Roman" w:cs="Times New Roman"/>
          <w:sz w:val="28"/>
          <w:szCs w:val="28"/>
          <w:lang w:val="nl-NL"/>
        </w:rPr>
        <w:t>+ Đối với người nộp thuế:</w:t>
      </w:r>
    </w:p>
    <w:p w:rsidR="00A241CD" w:rsidRPr="00986A82" w:rsidRDefault="00035974" w:rsidP="009B4052">
      <w:pPr>
        <w:spacing w:before="120" w:after="120" w:line="240" w:lineRule="auto"/>
        <w:ind w:firstLine="720"/>
        <w:jc w:val="both"/>
        <w:rPr>
          <w:rFonts w:ascii="Times New Roman" w:hAnsi="Times New Roman" w:cs="Times New Roman"/>
          <w:sz w:val="28"/>
          <w:szCs w:val="28"/>
          <w:lang w:val="nl-NL"/>
        </w:rPr>
      </w:pPr>
      <w:r w:rsidRPr="00986A82">
        <w:rPr>
          <w:rFonts w:ascii="Times New Roman" w:hAnsi="Times New Roman" w:cs="Times New Roman"/>
          <w:sz w:val="28"/>
          <w:szCs w:val="28"/>
          <w:lang w:val="am-ET"/>
        </w:rPr>
        <w:t>Việc điều chỉnh</w:t>
      </w:r>
      <w:r w:rsidRPr="00986A82">
        <w:rPr>
          <w:rFonts w:ascii="Times New Roman" w:hAnsi="Times New Roman" w:cs="Times New Roman"/>
          <w:sz w:val="28"/>
          <w:szCs w:val="28"/>
          <w:lang w:val="nl-NL"/>
        </w:rPr>
        <w:t xml:space="preserve"> nâng</w:t>
      </w:r>
      <w:r w:rsidRPr="00986A82">
        <w:rPr>
          <w:rFonts w:ascii="Times New Roman" w:hAnsi="Times New Roman" w:cs="Times New Roman"/>
          <w:sz w:val="28"/>
          <w:szCs w:val="28"/>
          <w:lang w:val="am-ET"/>
        </w:rPr>
        <w:t xml:space="preserve"> mức </w:t>
      </w:r>
      <w:r w:rsidR="00054409" w:rsidRPr="00986A82">
        <w:rPr>
          <w:rFonts w:ascii="Times New Roman" w:hAnsi="Times New Roman" w:cs="Times New Roman"/>
          <w:sz w:val="28"/>
          <w:szCs w:val="28"/>
          <w:lang w:val="am-ET"/>
        </w:rPr>
        <w:t>GTGC</w:t>
      </w:r>
      <w:r w:rsidRPr="00986A82">
        <w:rPr>
          <w:rFonts w:ascii="Times New Roman" w:hAnsi="Times New Roman" w:cs="Times New Roman"/>
          <w:sz w:val="28"/>
          <w:szCs w:val="28"/>
          <w:lang w:val="am-ET"/>
        </w:rPr>
        <w:t xml:space="preserve"> </w:t>
      </w:r>
      <w:r w:rsidRPr="00986A82">
        <w:rPr>
          <w:rFonts w:ascii="Times New Roman" w:hAnsi="Times New Roman" w:cs="Times New Roman"/>
          <w:sz w:val="28"/>
          <w:szCs w:val="28"/>
          <w:lang w:val="nl-NL"/>
        </w:rPr>
        <w:t>(cho người nộp thuế từ 9 triệu đồng/tháng lên 11 triệu đồng/tháng; người phụ thuộc từ 3,6 triệu đồng/</w:t>
      </w:r>
      <w:r w:rsidR="009B4052" w:rsidRPr="00986A82">
        <w:rPr>
          <w:rFonts w:ascii="Times New Roman" w:hAnsi="Times New Roman" w:cs="Times New Roman"/>
          <w:sz w:val="28"/>
          <w:szCs w:val="28"/>
          <w:lang w:val="nl-NL"/>
        </w:rPr>
        <w:t>tháng</w:t>
      </w:r>
      <w:r w:rsidRPr="00986A82">
        <w:rPr>
          <w:rFonts w:ascii="Times New Roman" w:hAnsi="Times New Roman" w:cs="Times New Roman"/>
          <w:sz w:val="28"/>
          <w:szCs w:val="28"/>
          <w:lang w:val="nl-NL"/>
        </w:rPr>
        <w:t xml:space="preserve"> lên 4,4 triệu đồng/</w:t>
      </w:r>
      <w:r w:rsidR="009B4052" w:rsidRPr="00986A82">
        <w:rPr>
          <w:rFonts w:ascii="Times New Roman" w:hAnsi="Times New Roman" w:cs="Times New Roman"/>
          <w:sz w:val="28"/>
          <w:szCs w:val="28"/>
          <w:lang w:val="nl-NL"/>
        </w:rPr>
        <w:t>tháng</w:t>
      </w:r>
      <w:r w:rsidRPr="00986A82">
        <w:rPr>
          <w:rFonts w:ascii="Times New Roman" w:hAnsi="Times New Roman" w:cs="Times New Roman"/>
          <w:sz w:val="28"/>
          <w:szCs w:val="28"/>
          <w:lang w:val="nl-NL"/>
        </w:rPr>
        <w:t>)</w:t>
      </w:r>
      <w:r w:rsidRPr="00986A82">
        <w:rPr>
          <w:rFonts w:ascii="Times New Roman" w:hAnsi="Times New Roman" w:cs="Times New Roman"/>
          <w:sz w:val="28"/>
          <w:szCs w:val="28"/>
          <w:lang w:val="am-ET"/>
        </w:rPr>
        <w:t xml:space="preserve"> sẽ góp phần giảm bớt khó khăn cho người nộp thuế</w:t>
      </w:r>
      <w:r w:rsidRPr="00986A82">
        <w:rPr>
          <w:rFonts w:ascii="Times New Roman" w:hAnsi="Times New Roman" w:cs="Times New Roman"/>
          <w:sz w:val="28"/>
          <w:szCs w:val="28"/>
          <w:lang w:val="nl-NL"/>
        </w:rPr>
        <w:t xml:space="preserve"> trong bối cảnh giá cả, lạm phát tăng so với thời điểm năm 2013</w:t>
      </w:r>
      <w:r w:rsidR="009B4052" w:rsidRPr="00986A82">
        <w:rPr>
          <w:rFonts w:ascii="Times New Roman" w:hAnsi="Times New Roman" w:cs="Times New Roman"/>
          <w:sz w:val="28"/>
          <w:szCs w:val="28"/>
          <w:lang w:val="nl-NL"/>
        </w:rPr>
        <w:t>.</w:t>
      </w:r>
      <w:r w:rsidRPr="00986A82">
        <w:rPr>
          <w:rFonts w:ascii="Times New Roman" w:hAnsi="Times New Roman" w:cs="Times New Roman"/>
          <w:sz w:val="28"/>
          <w:szCs w:val="28"/>
          <w:lang w:val="nl-NL"/>
        </w:rPr>
        <w:t xml:space="preserve"> S</w:t>
      </w:r>
      <w:r w:rsidRPr="00986A82">
        <w:rPr>
          <w:rFonts w:ascii="Times New Roman" w:hAnsi="Times New Roman" w:cs="Times New Roman"/>
          <w:sz w:val="28"/>
          <w:szCs w:val="28"/>
          <w:lang w:val="am-ET"/>
        </w:rPr>
        <w:t xml:space="preserve">ố thuế phải nộp sẽ được giảm cho mọi đối tượng nộp thuế, trong đó mức độ giảm </w:t>
      </w:r>
      <w:r w:rsidR="009B4052" w:rsidRPr="00986A82">
        <w:rPr>
          <w:rFonts w:ascii="Times New Roman" w:hAnsi="Times New Roman" w:cs="Times New Roman"/>
          <w:sz w:val="28"/>
          <w:szCs w:val="28"/>
          <w:lang w:val="nl-NL"/>
        </w:rPr>
        <w:t xml:space="preserve">số thuế phải nộp </w:t>
      </w:r>
      <w:r w:rsidRPr="00986A82">
        <w:rPr>
          <w:rFonts w:ascii="Times New Roman" w:hAnsi="Times New Roman" w:cs="Times New Roman"/>
          <w:sz w:val="28"/>
          <w:szCs w:val="28"/>
          <w:lang w:val="am-ET"/>
        </w:rPr>
        <w:t>của nhóm người nộp thuế ở bậc thuế thấp</w:t>
      </w:r>
      <w:r w:rsidRPr="00986A82">
        <w:rPr>
          <w:rFonts w:ascii="Times New Roman" w:hAnsi="Times New Roman" w:cs="Times New Roman"/>
          <w:sz w:val="28"/>
          <w:szCs w:val="28"/>
          <w:lang w:val="nl-NL"/>
        </w:rPr>
        <w:t xml:space="preserve"> sẽ</w:t>
      </w:r>
      <w:r w:rsidRPr="00986A82">
        <w:rPr>
          <w:rFonts w:ascii="Times New Roman" w:hAnsi="Times New Roman" w:cs="Times New Roman"/>
          <w:sz w:val="28"/>
          <w:szCs w:val="28"/>
          <w:lang w:val="am-ET"/>
        </w:rPr>
        <w:t xml:space="preserve"> cao hơn so với những người nộp thuế ở bậc thuế cao.</w:t>
      </w:r>
      <w:r w:rsidR="00A241CD" w:rsidRPr="00986A82">
        <w:rPr>
          <w:rFonts w:ascii="Times New Roman" w:hAnsi="Times New Roman" w:cs="Times New Roman"/>
          <w:sz w:val="28"/>
          <w:szCs w:val="28"/>
          <w:lang w:val="nl-NL"/>
        </w:rPr>
        <w:t xml:space="preserve"> </w:t>
      </w:r>
      <w:r w:rsidRPr="00986A82">
        <w:rPr>
          <w:rFonts w:ascii="Times New Roman" w:hAnsi="Times New Roman" w:cs="Times New Roman"/>
          <w:sz w:val="28"/>
          <w:szCs w:val="28"/>
          <w:lang w:val="am-ET"/>
        </w:rPr>
        <w:t>Cụ thể</w:t>
      </w:r>
      <w:r w:rsidR="00A241CD" w:rsidRPr="00986A82">
        <w:rPr>
          <w:rFonts w:ascii="Times New Roman" w:hAnsi="Times New Roman" w:cs="Times New Roman"/>
          <w:sz w:val="28"/>
          <w:szCs w:val="28"/>
          <w:lang w:val="nl-NL"/>
        </w:rPr>
        <w:t>:</w:t>
      </w:r>
    </w:p>
    <w:p w:rsidR="00035974" w:rsidRPr="00986A82" w:rsidRDefault="00A241CD" w:rsidP="00A241CD">
      <w:pPr>
        <w:spacing w:before="120" w:after="120" w:line="240" w:lineRule="auto"/>
        <w:ind w:firstLine="720"/>
        <w:jc w:val="both"/>
        <w:rPr>
          <w:rFonts w:ascii="Times New Roman" w:hAnsi="Times New Roman" w:cs="Times New Roman"/>
          <w:sz w:val="28"/>
          <w:szCs w:val="28"/>
          <w:lang w:val="am-ET"/>
        </w:rPr>
      </w:pPr>
      <w:r w:rsidRPr="00986A82">
        <w:rPr>
          <w:rFonts w:ascii="Times New Roman" w:hAnsi="Times New Roman" w:cs="Times New Roman"/>
          <w:sz w:val="28"/>
          <w:szCs w:val="28"/>
          <w:lang w:val="nl-NL"/>
        </w:rPr>
        <w:t>T</w:t>
      </w:r>
      <w:r w:rsidR="00035974" w:rsidRPr="00986A82">
        <w:rPr>
          <w:rFonts w:ascii="Times New Roman" w:hAnsi="Times New Roman" w:cs="Times New Roman"/>
          <w:sz w:val="28"/>
          <w:szCs w:val="28"/>
          <w:lang w:val="am-ET"/>
        </w:rPr>
        <w:t>heo quy định hiện hành người có thu nhập đến 15 triệu</w:t>
      </w:r>
      <w:r w:rsidR="004330BB" w:rsidRPr="00986A82">
        <w:rPr>
          <w:rFonts w:ascii="Times New Roman" w:hAnsi="Times New Roman" w:cs="Times New Roman"/>
          <w:sz w:val="28"/>
          <w:szCs w:val="28"/>
          <w:lang w:val="am-ET"/>
        </w:rPr>
        <w:t xml:space="preserve"> đồng</w:t>
      </w:r>
      <w:r w:rsidR="00035974" w:rsidRPr="00986A82">
        <w:rPr>
          <w:rFonts w:ascii="Times New Roman" w:hAnsi="Times New Roman" w:cs="Times New Roman"/>
          <w:sz w:val="28"/>
          <w:szCs w:val="28"/>
          <w:lang w:val="am-ET"/>
        </w:rPr>
        <w:t>/tháng (có 1 người phụ thuộc) phải nộp thuế ở mức 120</w:t>
      </w:r>
      <w:r w:rsidR="004330BB" w:rsidRPr="00986A82">
        <w:rPr>
          <w:rFonts w:ascii="Times New Roman" w:hAnsi="Times New Roman" w:cs="Times New Roman"/>
          <w:sz w:val="28"/>
          <w:szCs w:val="28"/>
          <w:lang w:val="am-ET"/>
        </w:rPr>
        <w:t>.000</w:t>
      </w:r>
      <w:r w:rsidR="00035974" w:rsidRPr="00986A82">
        <w:rPr>
          <w:rFonts w:ascii="Times New Roman" w:hAnsi="Times New Roman" w:cs="Times New Roman"/>
          <w:sz w:val="28"/>
          <w:szCs w:val="28"/>
          <w:lang w:val="am-ET"/>
        </w:rPr>
        <w:t xml:space="preserve"> đồng/tháng (0,8% thu nhậ</w:t>
      </w:r>
      <w:r w:rsidRPr="00986A82">
        <w:rPr>
          <w:rFonts w:ascii="Times New Roman" w:hAnsi="Times New Roman" w:cs="Times New Roman"/>
          <w:sz w:val="28"/>
          <w:szCs w:val="28"/>
          <w:lang w:val="am-ET"/>
        </w:rPr>
        <w:t>p) thì</w:t>
      </w:r>
      <w:r w:rsidR="00035974" w:rsidRPr="00986A82">
        <w:rPr>
          <w:rFonts w:ascii="Times New Roman" w:hAnsi="Times New Roman" w:cs="Times New Roman"/>
          <w:sz w:val="28"/>
          <w:szCs w:val="28"/>
          <w:lang w:val="am-ET"/>
        </w:rPr>
        <w:t xml:space="preserve"> </w:t>
      </w:r>
      <w:r w:rsidRPr="00986A82">
        <w:rPr>
          <w:rFonts w:ascii="Times New Roman" w:hAnsi="Times New Roman" w:cs="Times New Roman"/>
          <w:sz w:val="28"/>
          <w:szCs w:val="28"/>
          <w:lang w:val="nl-NL"/>
        </w:rPr>
        <w:t xml:space="preserve">theo mức GTGC mới </w:t>
      </w:r>
      <w:r w:rsidR="00035974" w:rsidRPr="00986A82">
        <w:rPr>
          <w:rFonts w:ascii="Times New Roman" w:hAnsi="Times New Roman" w:cs="Times New Roman"/>
          <w:sz w:val="28"/>
          <w:szCs w:val="28"/>
          <w:lang w:val="am-ET"/>
        </w:rPr>
        <w:t>sẽ không phải nộp thuế. Người nộp thuế có thu nhập đến 20 triệu đồng/tháng (có 1 người phụ thuộc) theo quy định hiện hành nộp thuế TNCN là 490</w:t>
      </w:r>
      <w:r w:rsidR="004330BB" w:rsidRPr="00986A82">
        <w:rPr>
          <w:rFonts w:ascii="Times New Roman" w:hAnsi="Times New Roman" w:cs="Times New Roman"/>
          <w:sz w:val="28"/>
          <w:szCs w:val="28"/>
          <w:lang w:val="am-ET"/>
        </w:rPr>
        <w:t>.000</w:t>
      </w:r>
      <w:r w:rsidR="00035974" w:rsidRPr="00986A82">
        <w:rPr>
          <w:rFonts w:ascii="Times New Roman" w:hAnsi="Times New Roman" w:cs="Times New Roman"/>
          <w:sz w:val="28"/>
          <w:szCs w:val="28"/>
          <w:lang w:val="am-ET"/>
        </w:rPr>
        <w:t xml:space="preserve"> đồng/tháng (tương đương 2,5% thu nhập) thì </w:t>
      </w:r>
      <w:r w:rsidRPr="00986A82">
        <w:rPr>
          <w:rFonts w:ascii="Times New Roman" w:hAnsi="Times New Roman" w:cs="Times New Roman"/>
          <w:sz w:val="28"/>
          <w:szCs w:val="28"/>
          <w:lang w:val="nl-NL"/>
        </w:rPr>
        <w:t xml:space="preserve">theo mức GTGC mới </w:t>
      </w:r>
      <w:r w:rsidR="00035974" w:rsidRPr="00986A82">
        <w:rPr>
          <w:rFonts w:ascii="Times New Roman" w:hAnsi="Times New Roman" w:cs="Times New Roman"/>
          <w:sz w:val="28"/>
          <w:szCs w:val="28"/>
          <w:lang w:val="am-ET"/>
        </w:rPr>
        <w:t xml:space="preserve">sẽ nộp thuế TNCN </w:t>
      </w:r>
      <w:r w:rsidRPr="00986A82">
        <w:rPr>
          <w:rFonts w:ascii="Times New Roman" w:hAnsi="Times New Roman" w:cs="Times New Roman"/>
          <w:sz w:val="28"/>
          <w:szCs w:val="28"/>
          <w:lang w:val="am-ET"/>
        </w:rPr>
        <w:t>là</w:t>
      </w:r>
      <w:r w:rsidR="00035974" w:rsidRPr="00986A82">
        <w:rPr>
          <w:rFonts w:ascii="Times New Roman" w:hAnsi="Times New Roman" w:cs="Times New Roman"/>
          <w:sz w:val="28"/>
          <w:szCs w:val="28"/>
          <w:lang w:val="am-ET"/>
        </w:rPr>
        <w:t xml:space="preserve"> 230</w:t>
      </w:r>
      <w:r w:rsidR="004330BB" w:rsidRPr="00986A82">
        <w:rPr>
          <w:rFonts w:ascii="Times New Roman" w:hAnsi="Times New Roman" w:cs="Times New Roman"/>
          <w:sz w:val="28"/>
          <w:szCs w:val="28"/>
          <w:lang w:val="am-ET"/>
        </w:rPr>
        <w:t>.000</w:t>
      </w:r>
      <w:r w:rsidR="00035974" w:rsidRPr="00986A82">
        <w:rPr>
          <w:rFonts w:ascii="Times New Roman" w:hAnsi="Times New Roman" w:cs="Times New Roman"/>
          <w:sz w:val="28"/>
          <w:szCs w:val="28"/>
          <w:lang w:val="am-ET"/>
        </w:rPr>
        <w:t xml:space="preserve"> đồng/tháng (1,</w:t>
      </w:r>
      <w:r w:rsidR="00942073" w:rsidRPr="00986A82">
        <w:rPr>
          <w:rFonts w:ascii="Times New Roman" w:hAnsi="Times New Roman" w:cs="Times New Roman"/>
          <w:sz w:val="28"/>
          <w:szCs w:val="28"/>
          <w:lang w:val="am-ET"/>
        </w:rPr>
        <w:t>2</w:t>
      </w:r>
      <w:r w:rsidR="00035974" w:rsidRPr="00986A82">
        <w:rPr>
          <w:rFonts w:ascii="Times New Roman" w:hAnsi="Times New Roman" w:cs="Times New Roman"/>
          <w:sz w:val="28"/>
          <w:szCs w:val="28"/>
          <w:lang w:val="am-ET"/>
        </w:rPr>
        <w:t>% thu nhậ</w:t>
      </w:r>
      <w:r w:rsidR="00AB269A" w:rsidRPr="00986A82">
        <w:rPr>
          <w:rFonts w:ascii="Times New Roman" w:hAnsi="Times New Roman" w:cs="Times New Roman"/>
          <w:sz w:val="28"/>
          <w:szCs w:val="28"/>
          <w:lang w:val="am-ET"/>
        </w:rPr>
        <w:t>p), sẽ</w:t>
      </w:r>
      <w:r w:rsidR="00035974" w:rsidRPr="00986A82">
        <w:rPr>
          <w:rFonts w:ascii="Times New Roman" w:hAnsi="Times New Roman" w:cs="Times New Roman"/>
          <w:sz w:val="28"/>
          <w:szCs w:val="28"/>
          <w:lang w:val="am-ET"/>
        </w:rPr>
        <w:t xml:space="preserve"> giảm hơn </w:t>
      </w:r>
      <w:r w:rsidR="00942073" w:rsidRPr="00986A82">
        <w:rPr>
          <w:rFonts w:ascii="Times New Roman" w:hAnsi="Times New Roman" w:cs="Times New Roman"/>
          <w:sz w:val="28"/>
          <w:szCs w:val="28"/>
          <w:lang w:val="am-ET"/>
        </w:rPr>
        <w:t>48</w:t>
      </w:r>
      <w:r w:rsidR="00035974" w:rsidRPr="00986A82">
        <w:rPr>
          <w:rFonts w:ascii="Times New Roman" w:hAnsi="Times New Roman" w:cs="Times New Roman"/>
          <w:sz w:val="28"/>
          <w:szCs w:val="28"/>
          <w:lang w:val="am-ET"/>
        </w:rPr>
        <w:t>% số thuế phải nộp</w:t>
      </w:r>
      <w:r w:rsidRPr="00986A82">
        <w:rPr>
          <w:rFonts w:ascii="Times New Roman" w:hAnsi="Times New Roman" w:cs="Times New Roman"/>
          <w:sz w:val="28"/>
          <w:szCs w:val="28"/>
          <w:lang w:val="am-ET"/>
        </w:rPr>
        <w:t xml:space="preserve"> so với hiện hành</w:t>
      </w:r>
      <w:r w:rsidR="00035974" w:rsidRPr="00986A82">
        <w:rPr>
          <w:rFonts w:ascii="Times New Roman" w:hAnsi="Times New Roman" w:cs="Times New Roman"/>
          <w:sz w:val="28"/>
          <w:szCs w:val="28"/>
          <w:lang w:val="am-ET"/>
        </w:rPr>
        <w:t xml:space="preserve">. </w:t>
      </w:r>
    </w:p>
    <w:p w:rsidR="00035974" w:rsidRPr="00986A82" w:rsidRDefault="00A241CD" w:rsidP="00A241CD">
      <w:pPr>
        <w:spacing w:before="120" w:after="120" w:line="240" w:lineRule="auto"/>
        <w:ind w:firstLine="720"/>
        <w:jc w:val="both"/>
        <w:rPr>
          <w:rFonts w:ascii="Times New Roman" w:hAnsi="Times New Roman" w:cs="Times New Roman"/>
          <w:sz w:val="28"/>
          <w:szCs w:val="28"/>
          <w:lang w:val="am-ET"/>
        </w:rPr>
      </w:pPr>
      <w:r w:rsidRPr="00986A82">
        <w:rPr>
          <w:rFonts w:ascii="Times New Roman" w:hAnsi="Times New Roman" w:cs="Times New Roman"/>
          <w:sz w:val="28"/>
          <w:szCs w:val="28"/>
          <w:lang w:val="am-ET"/>
        </w:rPr>
        <w:t xml:space="preserve">Đối </w:t>
      </w:r>
      <w:r w:rsidR="00035974" w:rsidRPr="00986A82">
        <w:rPr>
          <w:rFonts w:ascii="Times New Roman" w:hAnsi="Times New Roman" w:cs="Times New Roman"/>
          <w:sz w:val="28"/>
          <w:szCs w:val="28"/>
          <w:lang w:val="am-ET"/>
        </w:rPr>
        <w:t>với những người nộp thuế ở bậ</w:t>
      </w:r>
      <w:r w:rsidR="009B4052" w:rsidRPr="00986A82">
        <w:rPr>
          <w:rFonts w:ascii="Times New Roman" w:hAnsi="Times New Roman" w:cs="Times New Roman"/>
          <w:sz w:val="28"/>
          <w:szCs w:val="28"/>
          <w:lang w:val="am-ET"/>
        </w:rPr>
        <w:t>c cao</w:t>
      </w:r>
      <w:r w:rsidR="00035974" w:rsidRPr="00986A82">
        <w:rPr>
          <w:rFonts w:ascii="Times New Roman" w:hAnsi="Times New Roman" w:cs="Times New Roman"/>
          <w:sz w:val="28"/>
          <w:szCs w:val="28"/>
          <w:lang w:val="am-ET"/>
        </w:rPr>
        <w:t>, ví dụ người có thu nhập 70 triệu đồng/tháng (có 1 người phụ thuộc), hiện đang nộp thuế ở mức 11.370</w:t>
      </w:r>
      <w:r w:rsidR="004330BB" w:rsidRPr="00986A82">
        <w:rPr>
          <w:rFonts w:ascii="Times New Roman" w:hAnsi="Times New Roman" w:cs="Times New Roman"/>
          <w:sz w:val="28"/>
          <w:szCs w:val="28"/>
          <w:lang w:val="am-ET"/>
        </w:rPr>
        <w:t>.000</w:t>
      </w:r>
      <w:r w:rsidR="00035974" w:rsidRPr="00986A82">
        <w:rPr>
          <w:rFonts w:ascii="Times New Roman" w:hAnsi="Times New Roman" w:cs="Times New Roman"/>
          <w:sz w:val="28"/>
          <w:szCs w:val="28"/>
          <w:lang w:val="am-ET"/>
        </w:rPr>
        <w:t xml:space="preserve"> đồng/tháng (16,2% thu nhập), khi chuyển sang thực hiện </w:t>
      </w:r>
      <w:r w:rsidRPr="00986A82">
        <w:rPr>
          <w:rFonts w:ascii="Times New Roman" w:hAnsi="Times New Roman" w:cs="Times New Roman"/>
          <w:sz w:val="28"/>
          <w:szCs w:val="28"/>
          <w:lang w:val="nl-NL"/>
        </w:rPr>
        <w:t>mức GTGC mới</w:t>
      </w:r>
      <w:r w:rsidR="00035974" w:rsidRPr="00986A82">
        <w:rPr>
          <w:rFonts w:ascii="Times New Roman" w:hAnsi="Times New Roman" w:cs="Times New Roman"/>
          <w:sz w:val="28"/>
          <w:szCs w:val="28"/>
          <w:lang w:val="am-ET"/>
        </w:rPr>
        <w:t>, số thuế phải nộp là 10.530</w:t>
      </w:r>
      <w:r w:rsidR="004330BB" w:rsidRPr="00986A82">
        <w:rPr>
          <w:rFonts w:ascii="Times New Roman" w:hAnsi="Times New Roman" w:cs="Times New Roman"/>
          <w:sz w:val="28"/>
          <w:szCs w:val="28"/>
          <w:lang w:val="am-ET"/>
        </w:rPr>
        <w:t>.000</w:t>
      </w:r>
      <w:r w:rsidR="00035974" w:rsidRPr="00986A82">
        <w:rPr>
          <w:rFonts w:ascii="Times New Roman" w:hAnsi="Times New Roman" w:cs="Times New Roman"/>
          <w:sz w:val="28"/>
          <w:szCs w:val="28"/>
          <w:lang w:val="am-ET"/>
        </w:rPr>
        <w:t xml:space="preserve"> đồng (15% thu nhập), giảm khoảng 7% số thuế phải nộp</w:t>
      </w:r>
      <w:r w:rsidRPr="00986A82">
        <w:rPr>
          <w:rFonts w:ascii="Times New Roman" w:hAnsi="Times New Roman" w:cs="Times New Roman"/>
          <w:sz w:val="28"/>
          <w:szCs w:val="28"/>
          <w:lang w:val="am-ET"/>
        </w:rPr>
        <w:t xml:space="preserve"> so với hiện hành</w:t>
      </w:r>
      <w:r w:rsidR="00035974" w:rsidRPr="00986A82">
        <w:rPr>
          <w:rFonts w:ascii="Times New Roman" w:hAnsi="Times New Roman" w:cs="Times New Roman"/>
          <w:sz w:val="28"/>
          <w:szCs w:val="28"/>
          <w:lang w:val="am-ET"/>
        </w:rPr>
        <w:t>.</w:t>
      </w:r>
    </w:p>
    <w:p w:rsidR="006A375F" w:rsidRPr="00986A82" w:rsidRDefault="006A375F" w:rsidP="00A241CD">
      <w:pPr>
        <w:spacing w:before="120" w:after="120" w:line="240" w:lineRule="auto"/>
        <w:ind w:firstLine="720"/>
        <w:jc w:val="both"/>
        <w:rPr>
          <w:rFonts w:ascii="Times New Roman" w:hAnsi="Times New Roman" w:cs="Times New Roman"/>
          <w:sz w:val="28"/>
          <w:szCs w:val="28"/>
          <w:lang w:val="am-ET"/>
        </w:rPr>
      </w:pPr>
    </w:p>
    <w:p w:rsidR="00035974" w:rsidRPr="00986A82" w:rsidRDefault="00035974" w:rsidP="00035974">
      <w:pPr>
        <w:spacing w:before="120" w:after="120" w:line="240" w:lineRule="auto"/>
        <w:jc w:val="center"/>
        <w:rPr>
          <w:rFonts w:ascii="Times New Roman" w:hAnsi="Times New Roman" w:cs="Times New Roman"/>
          <w:b/>
          <w:sz w:val="28"/>
          <w:szCs w:val="28"/>
          <w:lang w:val="am-ET"/>
        </w:rPr>
      </w:pPr>
      <w:r w:rsidRPr="00986A82">
        <w:rPr>
          <w:rFonts w:ascii="Times New Roman" w:hAnsi="Times New Roman" w:cs="Times New Roman"/>
          <w:b/>
          <w:sz w:val="28"/>
          <w:szCs w:val="28"/>
          <w:lang w:val="am-ET"/>
        </w:rPr>
        <w:lastRenderedPageBreak/>
        <w:t>Bảng 1</w:t>
      </w:r>
      <w:r w:rsidRPr="00986A82">
        <w:rPr>
          <w:rFonts w:ascii="Times New Roman" w:hAnsi="Times New Roman" w:cs="Times New Roman"/>
          <w:sz w:val="28"/>
          <w:szCs w:val="28"/>
          <w:lang w:val="am-ET"/>
        </w:rPr>
        <w:t xml:space="preserve">. </w:t>
      </w:r>
      <w:r w:rsidRPr="00986A82">
        <w:rPr>
          <w:rFonts w:ascii="Times New Roman" w:hAnsi="Times New Roman" w:cs="Times New Roman"/>
          <w:b/>
          <w:sz w:val="28"/>
          <w:szCs w:val="28"/>
          <w:lang w:val="am-ET"/>
        </w:rPr>
        <w:t xml:space="preserve">Số thuế phải nộp theo mức thu nhập theo quy định hiện hành và theo </w:t>
      </w:r>
      <w:r w:rsidR="00A241CD" w:rsidRPr="00986A82">
        <w:rPr>
          <w:rFonts w:ascii="Times New Roman" w:hAnsi="Times New Roman" w:cs="Times New Roman"/>
          <w:b/>
          <w:sz w:val="28"/>
          <w:szCs w:val="28"/>
          <w:lang w:val="nl-NL"/>
        </w:rPr>
        <w:t>mức GTGC mới</w:t>
      </w:r>
    </w:p>
    <w:p w:rsidR="00035974" w:rsidRPr="00986A82" w:rsidRDefault="00035974" w:rsidP="00035974">
      <w:pPr>
        <w:spacing w:before="120" w:after="120" w:line="240" w:lineRule="auto"/>
        <w:jc w:val="right"/>
        <w:rPr>
          <w:rFonts w:ascii="Times New Roman" w:hAnsi="Times New Roman" w:cs="Times New Roman"/>
          <w:i/>
          <w:sz w:val="28"/>
          <w:szCs w:val="28"/>
        </w:rPr>
      </w:pPr>
      <w:r w:rsidRPr="00986A82">
        <w:rPr>
          <w:rFonts w:ascii="Times New Roman" w:hAnsi="Times New Roman" w:cs="Times New Roman"/>
          <w:i/>
          <w:sz w:val="28"/>
          <w:szCs w:val="28"/>
        </w:rPr>
        <w:t>Đơn vị: T</w:t>
      </w:r>
      <w:r w:rsidRPr="00986A82">
        <w:rPr>
          <w:rFonts w:ascii="Times New Roman" w:hAnsi="Times New Roman" w:cs="Times New Roman"/>
          <w:i/>
          <w:sz w:val="28"/>
          <w:szCs w:val="28"/>
          <w:lang w:val="am-ET"/>
        </w:rPr>
        <w:t>riệu đồng</w:t>
      </w:r>
    </w:p>
    <w:tbl>
      <w:tblPr>
        <w:tblW w:w="8691"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6"/>
        <w:gridCol w:w="1701"/>
        <w:gridCol w:w="1741"/>
        <w:gridCol w:w="1842"/>
        <w:gridCol w:w="1641"/>
      </w:tblGrid>
      <w:tr w:rsidR="00035974" w:rsidRPr="00986A82" w:rsidTr="00A241CD">
        <w:trPr>
          <w:trHeight w:val="519"/>
          <w:jc w:val="center"/>
        </w:trPr>
        <w:tc>
          <w:tcPr>
            <w:tcW w:w="1766" w:type="dxa"/>
            <w:vMerge w:val="restart"/>
            <w:shd w:val="clear" w:color="auto" w:fill="D9D9D9" w:themeFill="background1" w:themeFillShade="D9"/>
            <w:vAlign w:val="center"/>
          </w:tcPr>
          <w:p w:rsidR="00035974" w:rsidRPr="00986A82" w:rsidRDefault="00035974" w:rsidP="00035974">
            <w:pPr>
              <w:spacing w:after="0" w:line="240" w:lineRule="auto"/>
              <w:jc w:val="center"/>
              <w:rPr>
                <w:rFonts w:ascii="Times New Roman" w:hAnsi="Times New Roman" w:cs="Times New Roman"/>
                <w:color w:val="000000"/>
                <w:sz w:val="28"/>
                <w:szCs w:val="28"/>
                <w:lang w:val="am-ET"/>
              </w:rPr>
            </w:pPr>
            <w:r w:rsidRPr="00986A82">
              <w:rPr>
                <w:rFonts w:ascii="Times New Roman" w:hAnsi="Times New Roman" w:cs="Times New Roman"/>
                <w:b/>
                <w:color w:val="000000"/>
                <w:sz w:val="28"/>
                <w:szCs w:val="28"/>
                <w:lang w:val="am-ET"/>
              </w:rPr>
              <w:t>Thu nhập/tháng</w:t>
            </w:r>
          </w:p>
        </w:tc>
        <w:tc>
          <w:tcPr>
            <w:tcW w:w="3442" w:type="dxa"/>
            <w:gridSpan w:val="2"/>
            <w:shd w:val="clear" w:color="auto" w:fill="D9D9D9" w:themeFill="background1" w:themeFillShade="D9"/>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b/>
                <w:color w:val="000000"/>
                <w:sz w:val="28"/>
                <w:szCs w:val="28"/>
              </w:rPr>
              <w:t>Có 1 người phụ thuộc</w:t>
            </w:r>
          </w:p>
        </w:tc>
        <w:tc>
          <w:tcPr>
            <w:tcW w:w="3483" w:type="dxa"/>
            <w:gridSpan w:val="2"/>
            <w:shd w:val="clear" w:color="auto" w:fill="D9D9D9" w:themeFill="background1" w:themeFillShade="D9"/>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b/>
                <w:color w:val="000000"/>
                <w:sz w:val="28"/>
                <w:szCs w:val="28"/>
              </w:rPr>
              <w:t>Có 2 người phụ thuộc</w:t>
            </w:r>
          </w:p>
        </w:tc>
      </w:tr>
      <w:tr w:rsidR="00035974" w:rsidRPr="00986A82" w:rsidTr="00A241CD">
        <w:trPr>
          <w:trHeight w:val="20"/>
          <w:jc w:val="center"/>
        </w:trPr>
        <w:tc>
          <w:tcPr>
            <w:tcW w:w="1766" w:type="dxa"/>
            <w:vMerge/>
            <w:shd w:val="clear" w:color="auto" w:fill="D9D9D9" w:themeFill="background1" w:themeFillShade="D9"/>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p>
        </w:tc>
        <w:tc>
          <w:tcPr>
            <w:tcW w:w="1701" w:type="dxa"/>
            <w:shd w:val="clear" w:color="auto" w:fill="D9D9D9" w:themeFill="background1" w:themeFillShade="D9"/>
            <w:vAlign w:val="center"/>
          </w:tcPr>
          <w:p w:rsidR="00035974" w:rsidRPr="00986A82" w:rsidRDefault="00A241CD" w:rsidP="00A241CD">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b/>
                <w:sz w:val="28"/>
                <w:szCs w:val="28"/>
                <w:lang w:val="nl-NL"/>
              </w:rPr>
              <w:t xml:space="preserve">Mức GTGC </w:t>
            </w:r>
            <w:r w:rsidRPr="00986A82">
              <w:rPr>
                <w:rFonts w:ascii="Times New Roman" w:hAnsi="Times New Roman" w:cs="Times New Roman"/>
                <w:b/>
                <w:color w:val="000000"/>
                <w:sz w:val="28"/>
                <w:szCs w:val="28"/>
              </w:rPr>
              <w:t>h</w:t>
            </w:r>
            <w:r w:rsidR="00035974" w:rsidRPr="00986A82">
              <w:rPr>
                <w:rFonts w:ascii="Times New Roman" w:hAnsi="Times New Roman" w:cs="Times New Roman"/>
                <w:b/>
                <w:color w:val="000000"/>
                <w:sz w:val="28"/>
                <w:szCs w:val="28"/>
              </w:rPr>
              <w:t>iện hành</w:t>
            </w:r>
          </w:p>
        </w:tc>
        <w:tc>
          <w:tcPr>
            <w:tcW w:w="1741" w:type="dxa"/>
            <w:shd w:val="clear" w:color="auto" w:fill="D9D9D9" w:themeFill="background1" w:themeFillShade="D9"/>
            <w:vAlign w:val="center"/>
          </w:tcPr>
          <w:p w:rsidR="00035974" w:rsidRPr="00986A82" w:rsidRDefault="00A241CD" w:rsidP="003B100B">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b/>
                <w:sz w:val="28"/>
                <w:szCs w:val="28"/>
                <w:lang w:val="nl-NL"/>
              </w:rPr>
              <w:t>Mức GTGC mới</w:t>
            </w:r>
          </w:p>
        </w:tc>
        <w:tc>
          <w:tcPr>
            <w:tcW w:w="1842" w:type="dxa"/>
            <w:shd w:val="clear" w:color="auto" w:fill="D9D9D9" w:themeFill="background1" w:themeFillShade="D9"/>
            <w:vAlign w:val="center"/>
          </w:tcPr>
          <w:p w:rsidR="00035974" w:rsidRPr="00986A82" w:rsidRDefault="00A241CD" w:rsidP="00035974">
            <w:pPr>
              <w:spacing w:after="0" w:line="240" w:lineRule="auto"/>
              <w:jc w:val="center"/>
              <w:rPr>
                <w:rFonts w:ascii="Times New Roman" w:hAnsi="Times New Roman" w:cs="Times New Roman"/>
                <w:b/>
                <w:color w:val="000000"/>
                <w:sz w:val="28"/>
                <w:szCs w:val="28"/>
              </w:rPr>
            </w:pPr>
            <w:r w:rsidRPr="00986A82">
              <w:rPr>
                <w:rFonts w:ascii="Times New Roman" w:hAnsi="Times New Roman" w:cs="Times New Roman"/>
                <w:b/>
                <w:sz w:val="28"/>
                <w:szCs w:val="28"/>
                <w:lang w:val="nl-NL"/>
              </w:rPr>
              <w:t xml:space="preserve">Mức GTGC </w:t>
            </w:r>
            <w:r w:rsidRPr="00986A82">
              <w:rPr>
                <w:rFonts w:ascii="Times New Roman" w:hAnsi="Times New Roman" w:cs="Times New Roman"/>
                <w:b/>
                <w:color w:val="000000"/>
                <w:sz w:val="28"/>
                <w:szCs w:val="28"/>
              </w:rPr>
              <w:t>hiện hành</w:t>
            </w:r>
          </w:p>
        </w:tc>
        <w:tc>
          <w:tcPr>
            <w:tcW w:w="1641" w:type="dxa"/>
            <w:shd w:val="clear" w:color="auto" w:fill="D9D9D9" w:themeFill="background1" w:themeFillShade="D9"/>
            <w:vAlign w:val="center"/>
          </w:tcPr>
          <w:p w:rsidR="00035974" w:rsidRPr="00986A82" w:rsidRDefault="00A241CD" w:rsidP="003B100B">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b/>
                <w:sz w:val="28"/>
                <w:szCs w:val="28"/>
                <w:lang w:val="nl-NL"/>
              </w:rPr>
              <w:t>Mức GTGC mới</w:t>
            </w:r>
          </w:p>
        </w:tc>
      </w:tr>
      <w:tr w:rsidR="00035974" w:rsidRPr="00986A82" w:rsidTr="00A241CD">
        <w:trPr>
          <w:trHeight w:val="20"/>
          <w:jc w:val="center"/>
        </w:trPr>
        <w:tc>
          <w:tcPr>
            <w:tcW w:w="1766"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10</w:t>
            </w:r>
          </w:p>
        </w:tc>
        <w:tc>
          <w:tcPr>
            <w:tcW w:w="170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w:t>
            </w:r>
          </w:p>
        </w:tc>
        <w:tc>
          <w:tcPr>
            <w:tcW w:w="17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w:t>
            </w:r>
          </w:p>
        </w:tc>
        <w:tc>
          <w:tcPr>
            <w:tcW w:w="1842"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w:t>
            </w:r>
          </w:p>
        </w:tc>
        <w:tc>
          <w:tcPr>
            <w:tcW w:w="16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w:t>
            </w:r>
          </w:p>
        </w:tc>
      </w:tr>
      <w:tr w:rsidR="00035974" w:rsidRPr="00986A82" w:rsidTr="00A241CD">
        <w:trPr>
          <w:trHeight w:val="20"/>
          <w:jc w:val="center"/>
        </w:trPr>
        <w:tc>
          <w:tcPr>
            <w:tcW w:w="1766"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15</w:t>
            </w:r>
          </w:p>
        </w:tc>
        <w:tc>
          <w:tcPr>
            <w:tcW w:w="170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0,12</w:t>
            </w:r>
          </w:p>
        </w:tc>
        <w:tc>
          <w:tcPr>
            <w:tcW w:w="17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w:t>
            </w:r>
          </w:p>
        </w:tc>
        <w:tc>
          <w:tcPr>
            <w:tcW w:w="1842"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w:t>
            </w:r>
          </w:p>
        </w:tc>
        <w:tc>
          <w:tcPr>
            <w:tcW w:w="16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w:t>
            </w:r>
          </w:p>
        </w:tc>
      </w:tr>
      <w:tr w:rsidR="00035974" w:rsidRPr="00986A82" w:rsidTr="00A241CD">
        <w:trPr>
          <w:trHeight w:val="20"/>
          <w:jc w:val="center"/>
        </w:trPr>
        <w:tc>
          <w:tcPr>
            <w:tcW w:w="1766"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20</w:t>
            </w:r>
          </w:p>
        </w:tc>
        <w:tc>
          <w:tcPr>
            <w:tcW w:w="170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0,49</w:t>
            </w:r>
          </w:p>
        </w:tc>
        <w:tc>
          <w:tcPr>
            <w:tcW w:w="1741" w:type="dxa"/>
            <w:vAlign w:val="bottom"/>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0,23</w:t>
            </w:r>
          </w:p>
        </w:tc>
        <w:tc>
          <w:tcPr>
            <w:tcW w:w="1842"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0,19</w:t>
            </w:r>
          </w:p>
        </w:tc>
        <w:tc>
          <w:tcPr>
            <w:tcW w:w="16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0,01</w:t>
            </w:r>
          </w:p>
        </w:tc>
      </w:tr>
      <w:tr w:rsidR="00035974" w:rsidRPr="00986A82" w:rsidTr="00A241CD">
        <w:trPr>
          <w:trHeight w:val="20"/>
          <w:jc w:val="center"/>
        </w:trPr>
        <w:tc>
          <w:tcPr>
            <w:tcW w:w="1766"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25</w:t>
            </w:r>
          </w:p>
        </w:tc>
        <w:tc>
          <w:tcPr>
            <w:tcW w:w="170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1,11</w:t>
            </w:r>
          </w:p>
        </w:tc>
        <w:tc>
          <w:tcPr>
            <w:tcW w:w="1741" w:type="dxa"/>
            <w:vAlign w:val="bottom"/>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0,71</w:t>
            </w:r>
          </w:p>
        </w:tc>
        <w:tc>
          <w:tcPr>
            <w:tcW w:w="1842"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0,63</w:t>
            </w:r>
          </w:p>
        </w:tc>
        <w:tc>
          <w:tcPr>
            <w:tcW w:w="16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0,27</w:t>
            </w:r>
          </w:p>
        </w:tc>
      </w:tr>
      <w:tr w:rsidR="00035974" w:rsidRPr="00986A82" w:rsidTr="00A241CD">
        <w:trPr>
          <w:trHeight w:val="20"/>
          <w:jc w:val="center"/>
        </w:trPr>
        <w:tc>
          <w:tcPr>
            <w:tcW w:w="1766"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30</w:t>
            </w:r>
          </w:p>
        </w:tc>
        <w:tc>
          <w:tcPr>
            <w:tcW w:w="170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1,86</w:t>
            </w:r>
          </w:p>
        </w:tc>
        <w:tc>
          <w:tcPr>
            <w:tcW w:w="1741" w:type="dxa"/>
            <w:vAlign w:val="bottom"/>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1,44</w:t>
            </w:r>
          </w:p>
        </w:tc>
        <w:tc>
          <w:tcPr>
            <w:tcW w:w="1842"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1,32</w:t>
            </w:r>
          </w:p>
        </w:tc>
        <w:tc>
          <w:tcPr>
            <w:tcW w:w="16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0,78</w:t>
            </w:r>
          </w:p>
        </w:tc>
      </w:tr>
      <w:tr w:rsidR="00035974" w:rsidRPr="00986A82" w:rsidTr="00A241CD">
        <w:trPr>
          <w:trHeight w:val="20"/>
          <w:jc w:val="center"/>
        </w:trPr>
        <w:tc>
          <w:tcPr>
            <w:tcW w:w="1766"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35</w:t>
            </w:r>
          </w:p>
        </w:tc>
        <w:tc>
          <w:tcPr>
            <w:tcW w:w="170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2,83</w:t>
            </w:r>
          </w:p>
        </w:tc>
        <w:tc>
          <w:tcPr>
            <w:tcW w:w="1741" w:type="dxa"/>
            <w:vAlign w:val="bottom"/>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2,27</w:t>
            </w:r>
          </w:p>
        </w:tc>
        <w:tc>
          <w:tcPr>
            <w:tcW w:w="1842"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2,11</w:t>
            </w:r>
          </w:p>
        </w:tc>
        <w:tc>
          <w:tcPr>
            <w:tcW w:w="16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1,53</w:t>
            </w:r>
          </w:p>
        </w:tc>
      </w:tr>
      <w:tr w:rsidR="00035974" w:rsidRPr="00986A82" w:rsidTr="00A241CD">
        <w:trPr>
          <w:trHeight w:val="20"/>
          <w:jc w:val="center"/>
        </w:trPr>
        <w:tc>
          <w:tcPr>
            <w:tcW w:w="1766"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40</w:t>
            </w:r>
          </w:p>
        </w:tc>
        <w:tc>
          <w:tcPr>
            <w:tcW w:w="170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3,83</w:t>
            </w:r>
          </w:p>
        </w:tc>
        <w:tc>
          <w:tcPr>
            <w:tcW w:w="1741" w:type="dxa"/>
            <w:vAlign w:val="bottom"/>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3,27</w:t>
            </w:r>
          </w:p>
        </w:tc>
        <w:tc>
          <w:tcPr>
            <w:tcW w:w="1842"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3,11</w:t>
            </w:r>
          </w:p>
        </w:tc>
        <w:tc>
          <w:tcPr>
            <w:tcW w:w="16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2,39</w:t>
            </w:r>
          </w:p>
        </w:tc>
      </w:tr>
      <w:tr w:rsidR="00035974" w:rsidRPr="00986A82" w:rsidTr="00A241CD">
        <w:trPr>
          <w:trHeight w:val="20"/>
          <w:jc w:val="center"/>
        </w:trPr>
        <w:tc>
          <w:tcPr>
            <w:tcW w:w="1766"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45</w:t>
            </w:r>
          </w:p>
        </w:tc>
        <w:tc>
          <w:tcPr>
            <w:tcW w:w="170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4,85</w:t>
            </w:r>
          </w:p>
        </w:tc>
        <w:tc>
          <w:tcPr>
            <w:tcW w:w="1741" w:type="dxa"/>
            <w:vAlign w:val="bottom"/>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4,27</w:t>
            </w:r>
          </w:p>
        </w:tc>
        <w:tc>
          <w:tcPr>
            <w:tcW w:w="1842"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4,11</w:t>
            </w:r>
          </w:p>
        </w:tc>
        <w:tc>
          <w:tcPr>
            <w:tcW w:w="16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3,39</w:t>
            </w:r>
          </w:p>
        </w:tc>
      </w:tr>
      <w:tr w:rsidR="00035974" w:rsidRPr="00986A82" w:rsidTr="00A241CD">
        <w:trPr>
          <w:trHeight w:val="20"/>
          <w:jc w:val="center"/>
        </w:trPr>
        <w:tc>
          <w:tcPr>
            <w:tcW w:w="1766"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50</w:t>
            </w:r>
          </w:p>
        </w:tc>
        <w:tc>
          <w:tcPr>
            <w:tcW w:w="170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6,1</w:t>
            </w:r>
          </w:p>
        </w:tc>
        <w:tc>
          <w:tcPr>
            <w:tcW w:w="1741" w:type="dxa"/>
            <w:vAlign w:val="bottom"/>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5,4</w:t>
            </w:r>
          </w:p>
        </w:tc>
        <w:tc>
          <w:tcPr>
            <w:tcW w:w="1842"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5,2</w:t>
            </w:r>
          </w:p>
        </w:tc>
        <w:tc>
          <w:tcPr>
            <w:tcW w:w="16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4,39</w:t>
            </w:r>
          </w:p>
        </w:tc>
      </w:tr>
      <w:tr w:rsidR="00035974" w:rsidRPr="00986A82" w:rsidTr="00A241CD">
        <w:trPr>
          <w:trHeight w:val="20"/>
          <w:jc w:val="center"/>
        </w:trPr>
        <w:tc>
          <w:tcPr>
            <w:tcW w:w="1766"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60</w:t>
            </w:r>
          </w:p>
        </w:tc>
        <w:tc>
          <w:tcPr>
            <w:tcW w:w="170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8,6</w:t>
            </w:r>
          </w:p>
        </w:tc>
        <w:tc>
          <w:tcPr>
            <w:tcW w:w="1741" w:type="dxa"/>
            <w:vAlign w:val="bottom"/>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7,9</w:t>
            </w:r>
          </w:p>
        </w:tc>
        <w:tc>
          <w:tcPr>
            <w:tcW w:w="1842"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7,7</w:t>
            </w:r>
          </w:p>
        </w:tc>
        <w:tc>
          <w:tcPr>
            <w:tcW w:w="16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6,8</w:t>
            </w:r>
          </w:p>
        </w:tc>
      </w:tr>
      <w:tr w:rsidR="00035974" w:rsidRPr="00986A82" w:rsidTr="00A241CD">
        <w:trPr>
          <w:trHeight w:val="20"/>
          <w:jc w:val="center"/>
        </w:trPr>
        <w:tc>
          <w:tcPr>
            <w:tcW w:w="1766"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70</w:t>
            </w:r>
          </w:p>
        </w:tc>
        <w:tc>
          <w:tcPr>
            <w:tcW w:w="170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11,37</w:t>
            </w:r>
          </w:p>
        </w:tc>
        <w:tc>
          <w:tcPr>
            <w:tcW w:w="1741" w:type="dxa"/>
            <w:vAlign w:val="bottom"/>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10,53</w:t>
            </w:r>
          </w:p>
        </w:tc>
        <w:tc>
          <w:tcPr>
            <w:tcW w:w="1842"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10,29</w:t>
            </w:r>
          </w:p>
        </w:tc>
        <w:tc>
          <w:tcPr>
            <w:tcW w:w="16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9,3</w:t>
            </w:r>
          </w:p>
        </w:tc>
      </w:tr>
      <w:tr w:rsidR="00035974" w:rsidRPr="00986A82" w:rsidTr="00A241CD">
        <w:trPr>
          <w:trHeight w:val="20"/>
          <w:jc w:val="center"/>
        </w:trPr>
        <w:tc>
          <w:tcPr>
            <w:tcW w:w="1766"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80</w:t>
            </w:r>
          </w:p>
        </w:tc>
        <w:tc>
          <w:tcPr>
            <w:tcW w:w="170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14,37</w:t>
            </w:r>
          </w:p>
        </w:tc>
        <w:tc>
          <w:tcPr>
            <w:tcW w:w="1741" w:type="dxa"/>
            <w:vAlign w:val="bottom"/>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13,53</w:t>
            </w:r>
          </w:p>
        </w:tc>
        <w:tc>
          <w:tcPr>
            <w:tcW w:w="1842"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13,29</w:t>
            </w:r>
          </w:p>
        </w:tc>
        <w:tc>
          <w:tcPr>
            <w:tcW w:w="16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12,21</w:t>
            </w:r>
          </w:p>
        </w:tc>
      </w:tr>
      <w:tr w:rsidR="00035974" w:rsidRPr="00986A82" w:rsidTr="00A241CD">
        <w:trPr>
          <w:trHeight w:val="20"/>
          <w:jc w:val="center"/>
        </w:trPr>
        <w:tc>
          <w:tcPr>
            <w:tcW w:w="1766"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90</w:t>
            </w:r>
          </w:p>
        </w:tc>
        <w:tc>
          <w:tcPr>
            <w:tcW w:w="170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17,37</w:t>
            </w:r>
          </w:p>
        </w:tc>
        <w:tc>
          <w:tcPr>
            <w:tcW w:w="1741" w:type="dxa"/>
            <w:vAlign w:val="bottom"/>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16,53</w:t>
            </w:r>
          </w:p>
        </w:tc>
        <w:tc>
          <w:tcPr>
            <w:tcW w:w="1842"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16,29</w:t>
            </w:r>
          </w:p>
        </w:tc>
        <w:tc>
          <w:tcPr>
            <w:tcW w:w="16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15,21</w:t>
            </w:r>
          </w:p>
        </w:tc>
      </w:tr>
      <w:tr w:rsidR="00035974" w:rsidRPr="00986A82" w:rsidTr="00A241CD">
        <w:trPr>
          <w:trHeight w:val="20"/>
          <w:jc w:val="center"/>
        </w:trPr>
        <w:tc>
          <w:tcPr>
            <w:tcW w:w="1766"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100</w:t>
            </w:r>
          </w:p>
        </w:tc>
        <w:tc>
          <w:tcPr>
            <w:tcW w:w="170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20,74</w:t>
            </w:r>
          </w:p>
        </w:tc>
        <w:tc>
          <w:tcPr>
            <w:tcW w:w="1741" w:type="dxa"/>
            <w:vAlign w:val="bottom"/>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19,76</w:t>
            </w:r>
          </w:p>
        </w:tc>
        <w:tc>
          <w:tcPr>
            <w:tcW w:w="1842"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19,48</w:t>
            </w:r>
          </w:p>
        </w:tc>
        <w:tc>
          <w:tcPr>
            <w:tcW w:w="16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18,22</w:t>
            </w:r>
          </w:p>
        </w:tc>
      </w:tr>
      <w:tr w:rsidR="00035974" w:rsidRPr="00986A82" w:rsidTr="00A241CD">
        <w:trPr>
          <w:trHeight w:val="20"/>
          <w:jc w:val="center"/>
        </w:trPr>
        <w:tc>
          <w:tcPr>
            <w:tcW w:w="1766"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150</w:t>
            </w:r>
          </w:p>
        </w:tc>
        <w:tc>
          <w:tcPr>
            <w:tcW w:w="170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38,24</w:t>
            </w:r>
          </w:p>
        </w:tc>
        <w:tc>
          <w:tcPr>
            <w:tcW w:w="1741" w:type="dxa"/>
            <w:vAlign w:val="bottom"/>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37,26</w:t>
            </w:r>
          </w:p>
        </w:tc>
        <w:tc>
          <w:tcPr>
            <w:tcW w:w="1842"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36,98</w:t>
            </w:r>
          </w:p>
        </w:tc>
        <w:tc>
          <w:tcPr>
            <w:tcW w:w="1641" w:type="dxa"/>
            <w:vAlign w:val="center"/>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35,72</w:t>
            </w:r>
          </w:p>
        </w:tc>
      </w:tr>
    </w:tbl>
    <w:p w:rsidR="00035974" w:rsidRPr="00986A82" w:rsidRDefault="00035974" w:rsidP="00035974">
      <w:pPr>
        <w:spacing w:before="120" w:after="120" w:line="240" w:lineRule="auto"/>
        <w:jc w:val="center"/>
        <w:rPr>
          <w:rFonts w:ascii="Times New Roman" w:hAnsi="Times New Roman" w:cs="Times New Roman"/>
          <w:sz w:val="28"/>
          <w:szCs w:val="28"/>
        </w:rPr>
      </w:pPr>
      <w:r w:rsidRPr="00986A82">
        <w:rPr>
          <w:rFonts w:ascii="Times New Roman" w:hAnsi="Times New Roman" w:cs="Times New Roman"/>
          <w:b/>
          <w:sz w:val="28"/>
          <w:szCs w:val="28"/>
        </w:rPr>
        <w:t xml:space="preserve">Bảng 2. So sánh về tỷ lệ giữa số thuế TNCN phải nộp tính trên thu nhập của người nộp thuế theo quy định hiện hành và theo </w:t>
      </w:r>
      <w:r w:rsidR="00A241CD" w:rsidRPr="00986A82">
        <w:rPr>
          <w:rFonts w:ascii="Times New Roman" w:hAnsi="Times New Roman" w:cs="Times New Roman"/>
          <w:b/>
          <w:sz w:val="28"/>
          <w:szCs w:val="28"/>
          <w:lang w:val="nl-NL"/>
        </w:rPr>
        <w:t>mức GTGC mới</w:t>
      </w:r>
    </w:p>
    <w:tbl>
      <w:tblPr>
        <w:tblW w:w="8647" w:type="dxa"/>
        <w:tblInd w:w="392" w:type="dxa"/>
        <w:tblLook w:val="04A0" w:firstRow="1" w:lastRow="0" w:firstColumn="1" w:lastColumn="0" w:noHBand="0" w:noVBand="1"/>
      </w:tblPr>
      <w:tblGrid>
        <w:gridCol w:w="1843"/>
        <w:gridCol w:w="1701"/>
        <w:gridCol w:w="1701"/>
        <w:gridCol w:w="1701"/>
        <w:gridCol w:w="1701"/>
      </w:tblGrid>
      <w:tr w:rsidR="00035974" w:rsidRPr="00986A82" w:rsidTr="00DB24DE">
        <w:trPr>
          <w:trHeight w:val="630"/>
        </w:trPr>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35974" w:rsidRPr="00986A82" w:rsidRDefault="00035974" w:rsidP="00035974">
            <w:pPr>
              <w:spacing w:after="0" w:line="240" w:lineRule="auto"/>
              <w:jc w:val="center"/>
              <w:rPr>
                <w:rFonts w:ascii="Times New Roman" w:hAnsi="Times New Roman" w:cs="Times New Roman"/>
                <w:b/>
                <w:bCs/>
                <w:color w:val="000000"/>
                <w:sz w:val="28"/>
                <w:szCs w:val="28"/>
              </w:rPr>
            </w:pPr>
            <w:r w:rsidRPr="00986A82">
              <w:rPr>
                <w:rFonts w:ascii="Times New Roman" w:hAnsi="Times New Roman" w:cs="Times New Roman"/>
                <w:b/>
                <w:bCs/>
                <w:color w:val="000000"/>
                <w:sz w:val="28"/>
                <w:szCs w:val="28"/>
              </w:rPr>
              <w:t>Thu nhập (triệu đồng/tháng)</w:t>
            </w:r>
          </w:p>
        </w:tc>
        <w:tc>
          <w:tcPr>
            <w:tcW w:w="3402" w:type="dxa"/>
            <w:gridSpan w:val="2"/>
            <w:tcBorders>
              <w:top w:val="single" w:sz="4" w:space="0" w:color="auto"/>
              <w:left w:val="nil"/>
              <w:bottom w:val="single" w:sz="4" w:space="0" w:color="auto"/>
              <w:right w:val="single" w:sz="4" w:space="0" w:color="auto"/>
            </w:tcBorders>
            <w:shd w:val="clear" w:color="000000" w:fill="D9D9D9"/>
            <w:vAlign w:val="center"/>
            <w:hideMark/>
          </w:tcPr>
          <w:p w:rsidR="00035974" w:rsidRPr="00986A82" w:rsidRDefault="00035974" w:rsidP="00035974">
            <w:pPr>
              <w:spacing w:after="0" w:line="240" w:lineRule="auto"/>
              <w:jc w:val="center"/>
              <w:rPr>
                <w:rFonts w:ascii="Times New Roman" w:hAnsi="Times New Roman" w:cs="Times New Roman"/>
                <w:b/>
                <w:bCs/>
                <w:color w:val="000000"/>
                <w:sz w:val="28"/>
                <w:szCs w:val="28"/>
              </w:rPr>
            </w:pPr>
            <w:r w:rsidRPr="00986A82">
              <w:rPr>
                <w:rFonts w:ascii="Times New Roman" w:hAnsi="Times New Roman" w:cs="Times New Roman"/>
                <w:b/>
                <w:bCs/>
                <w:color w:val="000000"/>
                <w:sz w:val="28"/>
                <w:szCs w:val="28"/>
              </w:rPr>
              <w:t>Có 1 người phụ thuộc</w:t>
            </w:r>
          </w:p>
        </w:tc>
        <w:tc>
          <w:tcPr>
            <w:tcW w:w="3402" w:type="dxa"/>
            <w:gridSpan w:val="2"/>
            <w:tcBorders>
              <w:top w:val="single" w:sz="4" w:space="0" w:color="auto"/>
              <w:left w:val="nil"/>
              <w:bottom w:val="single" w:sz="4" w:space="0" w:color="auto"/>
              <w:right w:val="single" w:sz="4" w:space="0" w:color="auto"/>
            </w:tcBorders>
            <w:shd w:val="clear" w:color="000000" w:fill="D9D9D9"/>
            <w:vAlign w:val="center"/>
            <w:hideMark/>
          </w:tcPr>
          <w:p w:rsidR="00035974" w:rsidRPr="00986A82" w:rsidRDefault="00035974" w:rsidP="00035974">
            <w:pPr>
              <w:spacing w:after="0" w:line="240" w:lineRule="auto"/>
              <w:jc w:val="center"/>
              <w:rPr>
                <w:rFonts w:ascii="Times New Roman" w:hAnsi="Times New Roman" w:cs="Times New Roman"/>
                <w:b/>
                <w:bCs/>
                <w:color w:val="000000"/>
                <w:sz w:val="28"/>
                <w:szCs w:val="28"/>
              </w:rPr>
            </w:pPr>
            <w:r w:rsidRPr="00986A82">
              <w:rPr>
                <w:rFonts w:ascii="Times New Roman" w:hAnsi="Times New Roman" w:cs="Times New Roman"/>
                <w:b/>
                <w:bCs/>
                <w:color w:val="000000"/>
                <w:sz w:val="28"/>
                <w:szCs w:val="28"/>
              </w:rPr>
              <w:t>Có 2 người phụ thuộc</w:t>
            </w:r>
          </w:p>
        </w:tc>
      </w:tr>
      <w:tr w:rsidR="00035974" w:rsidRPr="00986A82" w:rsidTr="00DB24DE">
        <w:trPr>
          <w:trHeight w:val="33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35974" w:rsidRPr="00986A82" w:rsidRDefault="00035974" w:rsidP="00035974">
            <w:pPr>
              <w:spacing w:after="0" w:line="240" w:lineRule="auto"/>
              <w:rPr>
                <w:rFonts w:ascii="Times New Roman" w:hAnsi="Times New Roman" w:cs="Times New Roman"/>
                <w:b/>
                <w:bCs/>
                <w:color w:val="000000"/>
                <w:sz w:val="28"/>
                <w:szCs w:val="28"/>
              </w:rPr>
            </w:pPr>
          </w:p>
        </w:tc>
        <w:tc>
          <w:tcPr>
            <w:tcW w:w="1701" w:type="dxa"/>
            <w:tcBorders>
              <w:top w:val="nil"/>
              <w:left w:val="nil"/>
              <w:bottom w:val="single" w:sz="4" w:space="0" w:color="auto"/>
              <w:right w:val="single" w:sz="4" w:space="0" w:color="auto"/>
            </w:tcBorders>
            <w:shd w:val="clear" w:color="000000" w:fill="D9D9D9"/>
            <w:vAlign w:val="center"/>
            <w:hideMark/>
          </w:tcPr>
          <w:p w:rsidR="00035974" w:rsidRPr="00986A82" w:rsidRDefault="00DB24DE" w:rsidP="00035974">
            <w:pPr>
              <w:spacing w:after="0" w:line="240" w:lineRule="auto"/>
              <w:jc w:val="center"/>
              <w:rPr>
                <w:rFonts w:ascii="Times New Roman" w:hAnsi="Times New Roman" w:cs="Times New Roman"/>
                <w:b/>
                <w:bCs/>
                <w:color w:val="000000"/>
                <w:sz w:val="28"/>
                <w:szCs w:val="28"/>
              </w:rPr>
            </w:pPr>
            <w:r w:rsidRPr="00986A82">
              <w:rPr>
                <w:rFonts w:ascii="Times New Roman" w:hAnsi="Times New Roman" w:cs="Times New Roman"/>
                <w:b/>
                <w:sz w:val="28"/>
                <w:szCs w:val="28"/>
                <w:lang w:val="nl-NL"/>
              </w:rPr>
              <w:t xml:space="preserve">Mức GTGC </w:t>
            </w:r>
            <w:r w:rsidRPr="00986A82">
              <w:rPr>
                <w:rFonts w:ascii="Times New Roman" w:hAnsi="Times New Roman" w:cs="Times New Roman"/>
                <w:b/>
                <w:color w:val="000000"/>
                <w:sz w:val="28"/>
                <w:szCs w:val="28"/>
              </w:rPr>
              <w:t>hiện hành</w:t>
            </w:r>
          </w:p>
        </w:tc>
        <w:tc>
          <w:tcPr>
            <w:tcW w:w="1701" w:type="dxa"/>
            <w:tcBorders>
              <w:top w:val="nil"/>
              <w:left w:val="nil"/>
              <w:bottom w:val="single" w:sz="4" w:space="0" w:color="auto"/>
              <w:right w:val="single" w:sz="4" w:space="0" w:color="auto"/>
            </w:tcBorders>
            <w:shd w:val="clear" w:color="000000" w:fill="D9D9D9"/>
            <w:vAlign w:val="center"/>
            <w:hideMark/>
          </w:tcPr>
          <w:p w:rsidR="00035974" w:rsidRPr="00986A82" w:rsidRDefault="00DB24DE" w:rsidP="003B100B">
            <w:pPr>
              <w:spacing w:after="0" w:line="240" w:lineRule="auto"/>
              <w:jc w:val="center"/>
              <w:rPr>
                <w:rFonts w:ascii="Times New Roman" w:hAnsi="Times New Roman" w:cs="Times New Roman"/>
                <w:b/>
                <w:bCs/>
                <w:color w:val="000000"/>
                <w:sz w:val="28"/>
                <w:szCs w:val="28"/>
              </w:rPr>
            </w:pPr>
            <w:r w:rsidRPr="00986A82">
              <w:rPr>
                <w:rFonts w:ascii="Times New Roman" w:hAnsi="Times New Roman" w:cs="Times New Roman"/>
                <w:b/>
                <w:sz w:val="28"/>
                <w:szCs w:val="28"/>
                <w:lang w:val="nl-NL"/>
              </w:rPr>
              <w:t>Mức GTGC mới</w:t>
            </w:r>
          </w:p>
        </w:tc>
        <w:tc>
          <w:tcPr>
            <w:tcW w:w="1701" w:type="dxa"/>
            <w:tcBorders>
              <w:top w:val="nil"/>
              <w:left w:val="nil"/>
              <w:bottom w:val="single" w:sz="4" w:space="0" w:color="auto"/>
              <w:right w:val="single" w:sz="4" w:space="0" w:color="auto"/>
            </w:tcBorders>
            <w:shd w:val="clear" w:color="000000" w:fill="D9D9D9"/>
            <w:vAlign w:val="center"/>
            <w:hideMark/>
          </w:tcPr>
          <w:p w:rsidR="00035974" w:rsidRPr="00986A82" w:rsidRDefault="00DB24DE" w:rsidP="00035974">
            <w:pPr>
              <w:spacing w:after="0" w:line="240" w:lineRule="auto"/>
              <w:jc w:val="center"/>
              <w:rPr>
                <w:rFonts w:ascii="Times New Roman" w:hAnsi="Times New Roman" w:cs="Times New Roman"/>
                <w:b/>
                <w:bCs/>
                <w:color w:val="000000"/>
                <w:sz w:val="28"/>
                <w:szCs w:val="28"/>
              </w:rPr>
            </w:pPr>
            <w:r w:rsidRPr="00986A82">
              <w:rPr>
                <w:rFonts w:ascii="Times New Roman" w:hAnsi="Times New Roman" w:cs="Times New Roman"/>
                <w:b/>
                <w:sz w:val="28"/>
                <w:szCs w:val="28"/>
                <w:lang w:val="nl-NL"/>
              </w:rPr>
              <w:t xml:space="preserve">Mức GTGC </w:t>
            </w:r>
            <w:r w:rsidRPr="00986A82">
              <w:rPr>
                <w:rFonts w:ascii="Times New Roman" w:hAnsi="Times New Roman" w:cs="Times New Roman"/>
                <w:b/>
                <w:color w:val="000000"/>
                <w:sz w:val="28"/>
                <w:szCs w:val="28"/>
              </w:rPr>
              <w:t>hiện hành</w:t>
            </w:r>
          </w:p>
        </w:tc>
        <w:tc>
          <w:tcPr>
            <w:tcW w:w="1701" w:type="dxa"/>
            <w:tcBorders>
              <w:top w:val="nil"/>
              <w:left w:val="nil"/>
              <w:bottom w:val="single" w:sz="4" w:space="0" w:color="auto"/>
              <w:right w:val="single" w:sz="4" w:space="0" w:color="auto"/>
            </w:tcBorders>
            <w:shd w:val="clear" w:color="000000" w:fill="D9D9D9"/>
            <w:vAlign w:val="center"/>
            <w:hideMark/>
          </w:tcPr>
          <w:p w:rsidR="00035974" w:rsidRPr="00986A82" w:rsidRDefault="00DB24DE" w:rsidP="003B100B">
            <w:pPr>
              <w:spacing w:after="0" w:line="240" w:lineRule="auto"/>
              <w:jc w:val="center"/>
              <w:rPr>
                <w:rFonts w:ascii="Times New Roman" w:hAnsi="Times New Roman" w:cs="Times New Roman"/>
                <w:b/>
                <w:bCs/>
                <w:color w:val="000000"/>
                <w:sz w:val="28"/>
                <w:szCs w:val="28"/>
              </w:rPr>
            </w:pPr>
            <w:r w:rsidRPr="00986A82">
              <w:rPr>
                <w:rFonts w:ascii="Times New Roman" w:hAnsi="Times New Roman" w:cs="Times New Roman"/>
                <w:b/>
                <w:sz w:val="28"/>
                <w:szCs w:val="28"/>
                <w:lang w:val="nl-NL"/>
              </w:rPr>
              <w:t>Mức GTGC mới</w:t>
            </w:r>
          </w:p>
        </w:tc>
      </w:tr>
      <w:tr w:rsidR="00035974" w:rsidRPr="00986A82" w:rsidTr="00DB24D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10,00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0,0%</w:t>
            </w:r>
          </w:p>
        </w:tc>
      </w:tr>
      <w:tr w:rsidR="00035974" w:rsidRPr="00986A82" w:rsidTr="00DB24D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15,00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0,8%</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0,0%</w:t>
            </w:r>
          </w:p>
        </w:tc>
      </w:tr>
      <w:tr w:rsidR="00035974" w:rsidRPr="00986A82" w:rsidTr="00DB24D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20,00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2,5%</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1,2%</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0,0%</w:t>
            </w:r>
          </w:p>
        </w:tc>
      </w:tr>
      <w:tr w:rsidR="00035974" w:rsidRPr="00986A82" w:rsidTr="00DB24D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25,00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4,4%</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2,8%</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2,5%</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1,1%</w:t>
            </w:r>
          </w:p>
        </w:tc>
      </w:tr>
      <w:tr w:rsidR="00035974" w:rsidRPr="00986A82" w:rsidTr="00DB24D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30,00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6,2%</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4,8%</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4,4%</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2,6%</w:t>
            </w:r>
          </w:p>
        </w:tc>
      </w:tr>
      <w:tr w:rsidR="00035974" w:rsidRPr="00986A82" w:rsidTr="00DB24D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35,00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8,1%</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6,5%</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6,0%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4,4%</w:t>
            </w:r>
          </w:p>
        </w:tc>
      </w:tr>
      <w:tr w:rsidR="00035974" w:rsidRPr="00986A82" w:rsidTr="00DB24D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40,00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9,6%</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8,2%</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7,8%</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6,0%</w:t>
            </w:r>
          </w:p>
        </w:tc>
      </w:tr>
      <w:tr w:rsidR="00035974" w:rsidRPr="00986A82" w:rsidTr="00DB24D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45,00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10,8%</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9,5%</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9,1%</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7,5%</w:t>
            </w:r>
          </w:p>
        </w:tc>
      </w:tr>
      <w:tr w:rsidR="00035974" w:rsidRPr="00986A82" w:rsidTr="00DB24D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50,00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12,2%</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10,8%</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10,4%</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8,8%</w:t>
            </w:r>
          </w:p>
        </w:tc>
      </w:tr>
      <w:tr w:rsidR="00035974" w:rsidRPr="00986A82" w:rsidTr="00DB24D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60,00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14,3%</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13,2%</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12,8%</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11,3%</w:t>
            </w:r>
          </w:p>
        </w:tc>
      </w:tr>
      <w:tr w:rsidR="00035974" w:rsidRPr="00986A82" w:rsidTr="00DB24D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70,00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16,2%</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15,0%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14,7%</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13,3%</w:t>
            </w:r>
          </w:p>
        </w:tc>
      </w:tr>
      <w:tr w:rsidR="00035974" w:rsidRPr="00986A82" w:rsidTr="00DB24D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80,00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18,0%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16,9%</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16,6%</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15,3%</w:t>
            </w:r>
          </w:p>
        </w:tc>
      </w:tr>
      <w:tr w:rsidR="00035974" w:rsidRPr="00986A82" w:rsidTr="00DB24D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90,00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19,3%</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18,4%</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18,1%</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16,9%</w:t>
            </w:r>
          </w:p>
        </w:tc>
      </w:tr>
      <w:tr w:rsidR="00035974" w:rsidRPr="00986A82" w:rsidTr="00DB24D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100,00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20,7%</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19,8%</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19,5%</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18,2%</w:t>
            </w:r>
          </w:p>
        </w:tc>
      </w:tr>
      <w:tr w:rsidR="00035974" w:rsidRPr="00986A82" w:rsidTr="00DB24D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150,00</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25,5%</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24,8%</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24,7%</w:t>
            </w:r>
          </w:p>
        </w:tc>
        <w:tc>
          <w:tcPr>
            <w:tcW w:w="1701" w:type="dxa"/>
            <w:tcBorders>
              <w:top w:val="nil"/>
              <w:left w:val="nil"/>
              <w:bottom w:val="single" w:sz="4" w:space="0" w:color="auto"/>
              <w:right w:val="single" w:sz="4" w:space="0" w:color="auto"/>
            </w:tcBorders>
            <w:shd w:val="clear" w:color="auto" w:fill="auto"/>
            <w:vAlign w:val="center"/>
            <w:hideMark/>
          </w:tcPr>
          <w:p w:rsidR="00035974" w:rsidRPr="00986A82" w:rsidRDefault="00035974" w:rsidP="00035974">
            <w:pPr>
              <w:spacing w:after="0" w:line="240" w:lineRule="auto"/>
              <w:jc w:val="center"/>
              <w:rPr>
                <w:rFonts w:ascii="Times New Roman" w:hAnsi="Times New Roman" w:cs="Times New Roman"/>
                <w:color w:val="000000"/>
                <w:sz w:val="28"/>
                <w:szCs w:val="28"/>
              </w:rPr>
            </w:pPr>
            <w:r w:rsidRPr="00986A82">
              <w:rPr>
                <w:rFonts w:ascii="Times New Roman" w:hAnsi="Times New Roman" w:cs="Times New Roman"/>
                <w:color w:val="000000"/>
                <w:sz w:val="28"/>
                <w:szCs w:val="28"/>
              </w:rPr>
              <w:t>23,8%</w:t>
            </w:r>
          </w:p>
        </w:tc>
      </w:tr>
    </w:tbl>
    <w:p w:rsidR="00035974" w:rsidRPr="00986A82" w:rsidRDefault="00035974" w:rsidP="00035974">
      <w:pPr>
        <w:widowControl w:val="0"/>
        <w:spacing w:before="120" w:after="120" w:line="240" w:lineRule="auto"/>
        <w:ind w:firstLine="720"/>
        <w:jc w:val="both"/>
        <w:rPr>
          <w:rFonts w:ascii="Times New Roman" w:hAnsi="Times New Roman" w:cs="Times New Roman"/>
          <w:sz w:val="28"/>
          <w:szCs w:val="28"/>
          <w:lang w:val="nl-NL"/>
        </w:rPr>
      </w:pPr>
      <w:r w:rsidRPr="00986A82">
        <w:rPr>
          <w:rFonts w:ascii="Times New Roman" w:hAnsi="Times New Roman" w:cs="Times New Roman"/>
          <w:sz w:val="28"/>
          <w:szCs w:val="28"/>
          <w:lang w:val="nl-NL"/>
        </w:rPr>
        <w:lastRenderedPageBreak/>
        <w:t>+ Đối với xã hội:</w:t>
      </w:r>
    </w:p>
    <w:p w:rsidR="00035974" w:rsidRPr="00986A82" w:rsidRDefault="00035974" w:rsidP="00035974">
      <w:pPr>
        <w:spacing w:before="120" w:after="120" w:line="240" w:lineRule="auto"/>
        <w:ind w:firstLine="720"/>
        <w:jc w:val="both"/>
        <w:rPr>
          <w:rFonts w:ascii="Times New Roman" w:hAnsi="Times New Roman" w:cs="Times New Roman"/>
          <w:sz w:val="28"/>
          <w:szCs w:val="28"/>
          <w:lang w:val="am-ET"/>
        </w:rPr>
      </w:pPr>
      <w:r w:rsidRPr="00986A82">
        <w:rPr>
          <w:rFonts w:ascii="Times New Roman" w:hAnsi="Times New Roman" w:cs="Times New Roman"/>
          <w:sz w:val="28"/>
          <w:szCs w:val="28"/>
          <w:lang w:val="nl-NL"/>
        </w:rPr>
        <w:t xml:space="preserve">Việc điều chỉnh tăng mức </w:t>
      </w:r>
      <w:r w:rsidR="00054409" w:rsidRPr="00986A82">
        <w:rPr>
          <w:rFonts w:ascii="Times New Roman" w:hAnsi="Times New Roman" w:cs="Times New Roman"/>
          <w:sz w:val="28"/>
          <w:szCs w:val="28"/>
          <w:lang w:val="nl-NL"/>
        </w:rPr>
        <w:t>GTGC</w:t>
      </w:r>
      <w:r w:rsidRPr="00986A82">
        <w:rPr>
          <w:rFonts w:ascii="Times New Roman" w:hAnsi="Times New Roman" w:cs="Times New Roman"/>
          <w:sz w:val="28"/>
          <w:szCs w:val="28"/>
          <w:lang w:val="nl-NL"/>
        </w:rPr>
        <w:t xml:space="preserve"> sẽ</w:t>
      </w:r>
      <w:r w:rsidRPr="00986A82">
        <w:rPr>
          <w:rFonts w:ascii="Times New Roman" w:hAnsi="Times New Roman" w:cs="Times New Roman"/>
          <w:sz w:val="28"/>
          <w:szCs w:val="28"/>
          <w:lang w:val="am-ET"/>
        </w:rPr>
        <w:t xml:space="preserve"> đảm bảo </w:t>
      </w:r>
      <w:r w:rsidRPr="00986A82">
        <w:rPr>
          <w:rFonts w:ascii="Times New Roman" w:hAnsi="Times New Roman" w:cs="Times New Roman"/>
          <w:sz w:val="28"/>
          <w:szCs w:val="28"/>
          <w:lang w:val="nl-NL"/>
        </w:rPr>
        <w:t xml:space="preserve">thực hiện mục tiêu </w:t>
      </w:r>
      <w:r w:rsidRPr="00986A82">
        <w:rPr>
          <w:rFonts w:ascii="Times New Roman" w:hAnsi="Times New Roman" w:cs="Times New Roman"/>
          <w:sz w:val="28"/>
          <w:szCs w:val="28"/>
          <w:lang w:val="am-ET"/>
        </w:rPr>
        <w:t>chính sách động viên hợp lý, công bằng, góp phần nâng cao đời sống của người nộp thuế, tạo động lực</w:t>
      </w:r>
      <w:r w:rsidRPr="00986A82">
        <w:rPr>
          <w:rFonts w:ascii="Times New Roman" w:hAnsi="Times New Roman" w:cs="Times New Roman"/>
          <w:sz w:val="28"/>
          <w:szCs w:val="28"/>
          <w:lang w:val="nl-NL"/>
        </w:rPr>
        <w:t xml:space="preserve"> khuyến</w:t>
      </w:r>
      <w:r w:rsidRPr="00986A82">
        <w:rPr>
          <w:rFonts w:ascii="Times New Roman" w:hAnsi="Times New Roman" w:cs="Times New Roman"/>
          <w:sz w:val="28"/>
          <w:szCs w:val="28"/>
          <w:lang w:val="am-ET"/>
        </w:rPr>
        <w:t xml:space="preserve"> khích mọi cá nhân ra sức lao động, sản xuất kinh doanh, gia tăng thu nhập làm giàu chính đáng</w:t>
      </w:r>
      <w:r w:rsidRPr="00986A82">
        <w:rPr>
          <w:rFonts w:ascii="Times New Roman" w:hAnsi="Times New Roman" w:cs="Times New Roman"/>
          <w:sz w:val="28"/>
          <w:szCs w:val="28"/>
          <w:lang w:val="nl-NL"/>
        </w:rPr>
        <w:t>;</w:t>
      </w:r>
      <w:r w:rsidRPr="00986A82">
        <w:rPr>
          <w:rFonts w:ascii="Times New Roman" w:hAnsi="Times New Roman" w:cs="Times New Roman"/>
          <w:sz w:val="28"/>
          <w:szCs w:val="28"/>
          <w:lang w:val="am-ET"/>
        </w:rPr>
        <w:t xml:space="preserve"> đảm bảo chính sách đơn giản, rõ ràng, minh bạch, thúc đẩy cải cách hành chính, nâng cao hiệu quả công tác quản lý thu thuế, tính tuân thủ pháp luật về thuế. Việc nâng mức </w:t>
      </w:r>
      <w:r w:rsidR="00054409" w:rsidRPr="00986A82">
        <w:rPr>
          <w:rFonts w:ascii="Times New Roman" w:hAnsi="Times New Roman" w:cs="Times New Roman"/>
          <w:sz w:val="28"/>
          <w:szCs w:val="28"/>
          <w:lang w:val="am-ET"/>
        </w:rPr>
        <w:t>GTGC</w:t>
      </w:r>
      <w:r w:rsidRPr="00986A82">
        <w:rPr>
          <w:rFonts w:ascii="Times New Roman" w:hAnsi="Times New Roman" w:cs="Times New Roman"/>
          <w:sz w:val="28"/>
          <w:szCs w:val="28"/>
          <w:lang w:val="am-ET"/>
        </w:rPr>
        <w:t xml:space="preserve"> cũng góp phần điều tiết hợp lý thu nhập, góp phần thực hiện công bằng xã hội, hạn chế chênh lệch giàu nghèo. </w:t>
      </w:r>
    </w:p>
    <w:p w:rsidR="00035974" w:rsidRPr="00986A82" w:rsidRDefault="00035974" w:rsidP="00035974">
      <w:pPr>
        <w:spacing w:before="120" w:after="120" w:line="240" w:lineRule="auto"/>
        <w:ind w:firstLine="720"/>
        <w:jc w:val="both"/>
        <w:rPr>
          <w:rFonts w:ascii="Times New Roman" w:hAnsi="Times New Roman" w:cs="Times New Roman"/>
          <w:sz w:val="28"/>
          <w:szCs w:val="28"/>
          <w:lang w:val="am-ET"/>
        </w:rPr>
      </w:pPr>
      <w:r w:rsidRPr="00986A82">
        <w:rPr>
          <w:rFonts w:ascii="Times New Roman" w:hAnsi="Times New Roman" w:cs="Times New Roman"/>
          <w:sz w:val="28"/>
          <w:szCs w:val="28"/>
          <w:lang w:val="am-ET"/>
        </w:rPr>
        <w:t xml:space="preserve">Về hiệu ứng kinh tế đối với xã hội có thể thấy việc điều chỉnh tăng mức </w:t>
      </w:r>
      <w:r w:rsidR="00054409" w:rsidRPr="00986A82">
        <w:rPr>
          <w:rFonts w:ascii="Times New Roman" w:hAnsi="Times New Roman" w:cs="Times New Roman"/>
          <w:sz w:val="28"/>
          <w:szCs w:val="28"/>
          <w:lang w:val="am-ET"/>
        </w:rPr>
        <w:t>GTGC</w:t>
      </w:r>
      <w:r w:rsidRPr="00986A82">
        <w:rPr>
          <w:rFonts w:ascii="Times New Roman" w:hAnsi="Times New Roman" w:cs="Times New Roman"/>
          <w:sz w:val="28"/>
          <w:szCs w:val="28"/>
          <w:lang w:val="am-ET"/>
        </w:rPr>
        <w:t xml:space="preserve"> có hiệu ứng tích cực. Nguyên nhân do việc điều chỉnh nâng mức </w:t>
      </w:r>
      <w:r w:rsidR="00054409" w:rsidRPr="00986A82">
        <w:rPr>
          <w:rFonts w:ascii="Times New Roman" w:hAnsi="Times New Roman" w:cs="Times New Roman"/>
          <w:sz w:val="28"/>
          <w:szCs w:val="28"/>
          <w:lang w:val="am-ET"/>
        </w:rPr>
        <w:t>GTGC</w:t>
      </w:r>
      <w:r w:rsidRPr="00986A82">
        <w:rPr>
          <w:rFonts w:ascii="Times New Roman" w:hAnsi="Times New Roman" w:cs="Times New Roman"/>
          <w:sz w:val="28"/>
          <w:szCs w:val="28"/>
          <w:lang w:val="am-ET"/>
        </w:rPr>
        <w:t xml:space="preserve"> dẫn đến giảm nghĩa vụ thuế TNCN hay gia tăng thu nhập khả dụng (thu nhập sau khi nộp thuế) của các cá nhân, từ đó kích thích tăng mức chi tiêu hộ gia đình, tăng tiêu dùng của xã hội, góp phần thúc đẩy tăng trưởng kinh tế. Tuy nhiên, mức độ tác động đến tăng trưởng kinh tế còn liên quan đến việc giảm chi tiêu của Chính phủ do giảm thu ngân sách từ thuế TNCN.</w:t>
      </w:r>
    </w:p>
    <w:p w:rsidR="00035974" w:rsidRPr="00986A82" w:rsidRDefault="00035974" w:rsidP="00035974">
      <w:pPr>
        <w:widowControl w:val="0"/>
        <w:spacing w:before="120" w:after="120" w:line="240" w:lineRule="auto"/>
        <w:ind w:firstLine="720"/>
        <w:jc w:val="both"/>
        <w:rPr>
          <w:rFonts w:ascii="Times New Roman" w:hAnsi="Times New Roman" w:cs="Times New Roman"/>
          <w:b/>
          <w:sz w:val="28"/>
          <w:szCs w:val="28"/>
          <w:lang w:val="nl-NL"/>
        </w:rPr>
      </w:pPr>
      <w:r w:rsidRPr="00986A82">
        <w:rPr>
          <w:rFonts w:ascii="Times New Roman" w:hAnsi="Times New Roman" w:cs="Times New Roman"/>
          <w:b/>
          <w:sz w:val="28"/>
          <w:szCs w:val="28"/>
          <w:lang w:val="nl-NL"/>
        </w:rPr>
        <w:t>- Tác động tiêu cực</w:t>
      </w:r>
    </w:p>
    <w:p w:rsidR="00035974" w:rsidRPr="00986A82" w:rsidRDefault="00035974" w:rsidP="00035974">
      <w:pPr>
        <w:widowControl w:val="0"/>
        <w:spacing w:before="120" w:after="120" w:line="240" w:lineRule="auto"/>
        <w:ind w:firstLine="720"/>
        <w:jc w:val="both"/>
        <w:rPr>
          <w:rFonts w:ascii="Times New Roman" w:hAnsi="Times New Roman" w:cs="Times New Roman"/>
          <w:sz w:val="28"/>
          <w:szCs w:val="28"/>
          <w:lang w:val="nl-NL"/>
        </w:rPr>
      </w:pPr>
      <w:r w:rsidRPr="00986A82">
        <w:rPr>
          <w:rFonts w:ascii="Times New Roman" w:hAnsi="Times New Roman" w:cs="Times New Roman"/>
          <w:sz w:val="28"/>
          <w:szCs w:val="28"/>
          <w:lang w:val="nl-NL"/>
        </w:rPr>
        <w:t>Đối với ngân sách nhà nước</w:t>
      </w:r>
      <w:r w:rsidR="009B4052" w:rsidRPr="00986A82">
        <w:rPr>
          <w:rFonts w:ascii="Times New Roman" w:hAnsi="Times New Roman" w:cs="Times New Roman"/>
          <w:sz w:val="28"/>
          <w:szCs w:val="28"/>
          <w:lang w:val="nl-NL"/>
        </w:rPr>
        <w:t xml:space="preserve"> (NSNN):</w:t>
      </w:r>
    </w:p>
    <w:p w:rsidR="00035974" w:rsidRPr="00986A82" w:rsidRDefault="00035974" w:rsidP="00035974">
      <w:pPr>
        <w:spacing w:before="120" w:after="120" w:line="240" w:lineRule="auto"/>
        <w:ind w:firstLine="720"/>
        <w:jc w:val="both"/>
        <w:rPr>
          <w:rFonts w:ascii="Times New Roman" w:hAnsi="Times New Roman" w:cs="Times New Roman"/>
          <w:sz w:val="28"/>
          <w:szCs w:val="28"/>
          <w:lang w:val="am-ET"/>
        </w:rPr>
      </w:pPr>
      <w:r w:rsidRPr="00986A82">
        <w:rPr>
          <w:rFonts w:ascii="Times New Roman" w:hAnsi="Times New Roman" w:cs="Times New Roman"/>
          <w:sz w:val="28"/>
          <w:szCs w:val="28"/>
          <w:lang w:val="am-ET"/>
        </w:rPr>
        <w:t xml:space="preserve">Theo </w:t>
      </w:r>
      <w:r w:rsidRPr="00986A82">
        <w:rPr>
          <w:rFonts w:ascii="Times New Roman" w:hAnsi="Times New Roman" w:cs="Times New Roman"/>
          <w:sz w:val="28"/>
          <w:szCs w:val="28"/>
          <w:lang w:val="nl-NL"/>
        </w:rPr>
        <w:t>dữ liệu trên hệ thống tập trung của ngành thuế trong năm 201</w:t>
      </w:r>
      <w:r w:rsidR="00943A28" w:rsidRPr="00986A82">
        <w:rPr>
          <w:rFonts w:ascii="Times New Roman" w:hAnsi="Times New Roman" w:cs="Times New Roman"/>
          <w:sz w:val="28"/>
          <w:szCs w:val="28"/>
          <w:lang w:val="nl-NL"/>
        </w:rPr>
        <w:t>9</w:t>
      </w:r>
      <w:r w:rsidRPr="00986A82">
        <w:rPr>
          <w:rFonts w:ascii="Times New Roman" w:hAnsi="Times New Roman" w:cs="Times New Roman"/>
          <w:sz w:val="28"/>
          <w:szCs w:val="28"/>
          <w:lang w:val="am-ET"/>
        </w:rPr>
        <w:t>, số lượng người nộp thuế</w:t>
      </w:r>
      <w:r w:rsidRPr="00986A82">
        <w:rPr>
          <w:rFonts w:ascii="Times New Roman" w:hAnsi="Times New Roman" w:cs="Times New Roman"/>
          <w:sz w:val="28"/>
          <w:szCs w:val="28"/>
          <w:lang w:val="nl-NL"/>
        </w:rPr>
        <w:t xml:space="preserve"> TNCN </w:t>
      </w:r>
      <w:r w:rsidR="004330BB" w:rsidRPr="00986A82">
        <w:rPr>
          <w:rFonts w:ascii="Times New Roman" w:hAnsi="Times New Roman" w:cs="Times New Roman"/>
          <w:sz w:val="28"/>
          <w:szCs w:val="28"/>
          <w:lang w:val="nl-NL"/>
        </w:rPr>
        <w:t xml:space="preserve">từ tiền lương, tiền công </w:t>
      </w:r>
      <w:r w:rsidRPr="00986A82">
        <w:rPr>
          <w:rFonts w:ascii="Times New Roman" w:hAnsi="Times New Roman" w:cs="Times New Roman"/>
          <w:sz w:val="28"/>
          <w:szCs w:val="28"/>
          <w:lang w:val="nl-NL"/>
        </w:rPr>
        <w:t xml:space="preserve">đạt </w:t>
      </w:r>
      <w:r w:rsidRPr="00986A82">
        <w:rPr>
          <w:rFonts w:ascii="Times New Roman" w:hAnsi="Times New Roman" w:cs="Times New Roman"/>
          <w:sz w:val="28"/>
          <w:szCs w:val="28"/>
          <w:lang w:val="am-ET"/>
        </w:rPr>
        <w:t xml:space="preserve">khoảng </w:t>
      </w:r>
      <w:r w:rsidRPr="00986A82">
        <w:rPr>
          <w:rFonts w:ascii="Times New Roman" w:hAnsi="Times New Roman" w:cs="Times New Roman"/>
          <w:sz w:val="28"/>
          <w:szCs w:val="28"/>
          <w:lang w:val="nl-NL"/>
        </w:rPr>
        <w:t>6,</w:t>
      </w:r>
      <w:r w:rsidR="00943A28" w:rsidRPr="00986A82">
        <w:rPr>
          <w:rFonts w:ascii="Times New Roman" w:hAnsi="Times New Roman" w:cs="Times New Roman"/>
          <w:sz w:val="28"/>
          <w:szCs w:val="28"/>
          <w:lang w:val="nl-NL"/>
        </w:rPr>
        <w:t>89</w:t>
      </w:r>
      <w:r w:rsidRPr="00986A82">
        <w:rPr>
          <w:rFonts w:ascii="Times New Roman" w:hAnsi="Times New Roman" w:cs="Times New Roman"/>
          <w:sz w:val="28"/>
          <w:szCs w:val="28"/>
          <w:lang w:val="am-ET"/>
        </w:rPr>
        <w:t xml:space="preserve"> triệu người</w:t>
      </w:r>
      <w:r w:rsidRPr="00986A82">
        <w:rPr>
          <w:rFonts w:ascii="Times New Roman" w:hAnsi="Times New Roman" w:cs="Times New Roman"/>
          <w:sz w:val="28"/>
          <w:szCs w:val="28"/>
          <w:lang w:val="nl-NL"/>
        </w:rPr>
        <w:t xml:space="preserve"> với tổng số thu NSNN đạt trên </w:t>
      </w:r>
      <w:r w:rsidRPr="00986A82">
        <w:rPr>
          <w:rFonts w:ascii="Times New Roman" w:hAnsi="Times New Roman" w:cs="Times New Roman"/>
          <w:b/>
          <w:sz w:val="28"/>
          <w:szCs w:val="28"/>
          <w:lang w:val="nl-NL"/>
        </w:rPr>
        <w:t>7</w:t>
      </w:r>
      <w:r w:rsidR="00943A28" w:rsidRPr="00986A82">
        <w:rPr>
          <w:rFonts w:ascii="Times New Roman" w:hAnsi="Times New Roman" w:cs="Times New Roman"/>
          <w:b/>
          <w:sz w:val="28"/>
          <w:szCs w:val="28"/>
          <w:lang w:val="nl-NL"/>
        </w:rPr>
        <w:t>9</w:t>
      </w:r>
      <w:r w:rsidRPr="00986A82">
        <w:rPr>
          <w:rFonts w:ascii="Times New Roman" w:hAnsi="Times New Roman" w:cs="Times New Roman"/>
          <w:b/>
          <w:sz w:val="28"/>
          <w:szCs w:val="28"/>
          <w:lang w:val="nl-NL"/>
        </w:rPr>
        <w:t>.</w:t>
      </w:r>
      <w:r w:rsidR="00943A28" w:rsidRPr="00986A82">
        <w:rPr>
          <w:rFonts w:ascii="Times New Roman" w:hAnsi="Times New Roman" w:cs="Times New Roman"/>
          <w:b/>
          <w:sz w:val="28"/>
          <w:szCs w:val="28"/>
          <w:lang w:val="nl-NL"/>
        </w:rPr>
        <w:t>219</w:t>
      </w:r>
      <w:r w:rsidRPr="00986A82">
        <w:rPr>
          <w:rFonts w:ascii="Times New Roman" w:hAnsi="Times New Roman" w:cs="Times New Roman"/>
          <w:sz w:val="28"/>
          <w:szCs w:val="28"/>
          <w:lang w:val="nl-NL"/>
        </w:rPr>
        <w:t xml:space="preserve"> tỷ đồng</w:t>
      </w:r>
      <w:r w:rsidRPr="00986A82">
        <w:rPr>
          <w:rFonts w:ascii="Times New Roman" w:hAnsi="Times New Roman" w:cs="Times New Roman"/>
          <w:sz w:val="28"/>
          <w:szCs w:val="28"/>
          <w:lang w:val="am-ET"/>
        </w:rPr>
        <w:t xml:space="preserve">. Nếu áp dụng mức giảm trừ theo mức dự kiến là 11 triệu đồng/tháng cho bản thân người nộp thuế và 4,4 triệu đồng/tháng cho mỗi người phụ thuộc thì một phần lớn số người nộp thuế ở bậc 1 sẽ chuyển sang diện không phải nộp thuế, tương tự những người nộp thuế ở các bậc thuế còn lại đều được giảm số thuế phải nộp, qua đó dự kiến giảm thu NSNN xuống còn khoảng </w:t>
      </w:r>
      <w:r w:rsidR="00943A28" w:rsidRPr="00986A82">
        <w:rPr>
          <w:rFonts w:ascii="Times New Roman" w:hAnsi="Times New Roman" w:cs="Times New Roman"/>
          <w:b/>
          <w:sz w:val="28"/>
          <w:szCs w:val="28"/>
          <w:lang w:val="am-ET"/>
        </w:rPr>
        <w:t>68.921</w:t>
      </w:r>
      <w:r w:rsidRPr="00986A82">
        <w:rPr>
          <w:rFonts w:ascii="Times New Roman" w:hAnsi="Times New Roman" w:cs="Times New Roman"/>
          <w:sz w:val="28"/>
          <w:szCs w:val="28"/>
          <w:lang w:val="am-ET"/>
        </w:rPr>
        <w:t xml:space="preserve"> tỷ đồng. Như vậy với đề xuất nâng mức </w:t>
      </w:r>
      <w:r w:rsidR="00054409" w:rsidRPr="00986A82">
        <w:rPr>
          <w:rFonts w:ascii="Times New Roman" w:hAnsi="Times New Roman" w:cs="Times New Roman"/>
          <w:sz w:val="28"/>
          <w:szCs w:val="28"/>
          <w:lang w:val="am-ET"/>
        </w:rPr>
        <w:t>GTGC</w:t>
      </w:r>
      <w:r w:rsidR="009B4052" w:rsidRPr="00986A82">
        <w:rPr>
          <w:rFonts w:ascii="Times New Roman" w:hAnsi="Times New Roman" w:cs="Times New Roman"/>
          <w:sz w:val="28"/>
          <w:szCs w:val="28"/>
          <w:lang w:val="am-ET"/>
        </w:rPr>
        <w:t xml:space="preserve"> nêu</w:t>
      </w:r>
      <w:r w:rsidRPr="00986A82">
        <w:rPr>
          <w:rFonts w:ascii="Times New Roman" w:hAnsi="Times New Roman" w:cs="Times New Roman"/>
          <w:sz w:val="28"/>
          <w:szCs w:val="28"/>
          <w:lang w:val="am-ET"/>
        </w:rPr>
        <w:t xml:space="preserve"> </w:t>
      </w:r>
      <w:r w:rsidR="00DB24DE" w:rsidRPr="00986A82">
        <w:rPr>
          <w:rFonts w:ascii="Times New Roman" w:hAnsi="Times New Roman" w:cs="Times New Roman"/>
          <w:sz w:val="28"/>
          <w:szCs w:val="28"/>
          <w:lang w:val="am-ET"/>
        </w:rPr>
        <w:t>trên</w:t>
      </w:r>
      <w:r w:rsidRPr="00986A82">
        <w:rPr>
          <w:rFonts w:ascii="Times New Roman" w:hAnsi="Times New Roman" w:cs="Times New Roman"/>
          <w:sz w:val="28"/>
          <w:szCs w:val="28"/>
          <w:lang w:val="am-ET"/>
        </w:rPr>
        <w:t xml:space="preserve"> thì </w:t>
      </w:r>
      <w:r w:rsidR="009B4052" w:rsidRPr="00986A82">
        <w:rPr>
          <w:rFonts w:ascii="Times New Roman" w:hAnsi="Times New Roman" w:cs="Times New Roman"/>
          <w:sz w:val="28"/>
          <w:szCs w:val="28"/>
          <w:lang w:val="am-ET"/>
        </w:rPr>
        <w:t>số</w:t>
      </w:r>
      <w:r w:rsidRPr="00986A82">
        <w:rPr>
          <w:rFonts w:ascii="Times New Roman" w:hAnsi="Times New Roman" w:cs="Times New Roman"/>
          <w:sz w:val="28"/>
          <w:szCs w:val="28"/>
          <w:lang w:val="am-ET"/>
        </w:rPr>
        <w:t xml:space="preserve"> thu về thuế TNCN 1 năm giảm khoảng </w:t>
      </w:r>
      <w:r w:rsidR="00943A28" w:rsidRPr="00986A82">
        <w:rPr>
          <w:rFonts w:ascii="Times New Roman" w:hAnsi="Times New Roman" w:cs="Times New Roman"/>
          <w:sz w:val="28"/>
          <w:szCs w:val="28"/>
          <w:lang w:val="am-ET"/>
        </w:rPr>
        <w:t>10</w:t>
      </w:r>
      <w:r w:rsidRPr="00986A82">
        <w:rPr>
          <w:rFonts w:ascii="Times New Roman" w:hAnsi="Times New Roman" w:cs="Times New Roman"/>
          <w:sz w:val="28"/>
          <w:szCs w:val="28"/>
          <w:lang w:val="am-ET"/>
        </w:rPr>
        <w:t>.</w:t>
      </w:r>
      <w:r w:rsidR="00943A28" w:rsidRPr="00986A82">
        <w:rPr>
          <w:rFonts w:ascii="Times New Roman" w:hAnsi="Times New Roman" w:cs="Times New Roman"/>
          <w:sz w:val="28"/>
          <w:szCs w:val="28"/>
          <w:lang w:val="am-ET"/>
        </w:rPr>
        <w:t>3</w:t>
      </w:r>
      <w:r w:rsidRPr="00986A82">
        <w:rPr>
          <w:rFonts w:ascii="Times New Roman" w:hAnsi="Times New Roman" w:cs="Times New Roman"/>
          <w:sz w:val="28"/>
          <w:szCs w:val="28"/>
          <w:lang w:val="am-ET"/>
        </w:rPr>
        <w:t>00 tỷ đồng (tương đương giảm khoảng 1</w:t>
      </w:r>
      <w:r w:rsidR="00943A28" w:rsidRPr="00986A82">
        <w:rPr>
          <w:rFonts w:ascii="Times New Roman" w:hAnsi="Times New Roman" w:cs="Times New Roman"/>
          <w:sz w:val="28"/>
          <w:szCs w:val="28"/>
          <w:lang w:val="am-ET"/>
        </w:rPr>
        <w:t>3</w:t>
      </w:r>
      <w:r w:rsidRPr="00986A82">
        <w:rPr>
          <w:rFonts w:ascii="Times New Roman" w:hAnsi="Times New Roman" w:cs="Times New Roman"/>
          <w:sz w:val="28"/>
          <w:szCs w:val="28"/>
          <w:lang w:val="am-ET"/>
        </w:rPr>
        <w:t>% số thu ngân sách từ thuế TNCN năm 201</w:t>
      </w:r>
      <w:r w:rsidR="00943A28" w:rsidRPr="00986A82">
        <w:rPr>
          <w:rFonts w:ascii="Times New Roman" w:hAnsi="Times New Roman" w:cs="Times New Roman"/>
          <w:sz w:val="28"/>
          <w:szCs w:val="28"/>
          <w:lang w:val="am-ET"/>
        </w:rPr>
        <w:t>9</w:t>
      </w:r>
      <w:r w:rsidRPr="00986A82">
        <w:rPr>
          <w:rFonts w:ascii="Times New Roman" w:hAnsi="Times New Roman" w:cs="Times New Roman"/>
          <w:sz w:val="28"/>
          <w:szCs w:val="28"/>
          <w:lang w:val="am-ET"/>
        </w:rPr>
        <w:t>).</w:t>
      </w:r>
    </w:p>
    <w:p w:rsidR="004C67A5" w:rsidRPr="00986A82" w:rsidRDefault="004C67A5" w:rsidP="00943A28">
      <w:pPr>
        <w:spacing w:after="0" w:line="240" w:lineRule="auto"/>
        <w:jc w:val="center"/>
        <w:rPr>
          <w:rFonts w:ascii="Times New Roman" w:hAnsi="Times New Roman" w:cs="Times New Roman"/>
          <w:b/>
          <w:sz w:val="28"/>
          <w:szCs w:val="28"/>
          <w:lang w:val="am-ET"/>
        </w:rPr>
      </w:pPr>
      <w:r w:rsidRPr="00986A82">
        <w:rPr>
          <w:rFonts w:ascii="Times New Roman" w:hAnsi="Times New Roman" w:cs="Times New Roman"/>
          <w:b/>
          <w:sz w:val="28"/>
          <w:szCs w:val="28"/>
          <w:lang w:val="am-ET"/>
        </w:rPr>
        <w:t>Bảng 3</w:t>
      </w:r>
      <w:r w:rsidRPr="00986A82">
        <w:rPr>
          <w:rFonts w:ascii="Times New Roman" w:hAnsi="Times New Roman" w:cs="Times New Roman"/>
          <w:sz w:val="28"/>
          <w:szCs w:val="28"/>
          <w:lang w:val="am-ET"/>
        </w:rPr>
        <w:t xml:space="preserve">. </w:t>
      </w:r>
      <w:r w:rsidR="00035974" w:rsidRPr="00986A82">
        <w:rPr>
          <w:rFonts w:ascii="Times New Roman" w:hAnsi="Times New Roman" w:cs="Times New Roman"/>
          <w:b/>
          <w:sz w:val="28"/>
          <w:szCs w:val="28"/>
          <w:lang w:val="am-ET"/>
        </w:rPr>
        <w:t xml:space="preserve">Số thuế TNCN năm </w:t>
      </w:r>
      <w:r w:rsidRPr="00986A82">
        <w:rPr>
          <w:rFonts w:ascii="Times New Roman" w:hAnsi="Times New Roman" w:cs="Times New Roman"/>
          <w:b/>
          <w:sz w:val="28"/>
          <w:szCs w:val="28"/>
          <w:lang w:val="am-ET"/>
        </w:rPr>
        <w:t>2019 (tạm tính)</w:t>
      </w:r>
    </w:p>
    <w:p w:rsidR="00035974" w:rsidRPr="00986A82" w:rsidRDefault="00035974" w:rsidP="00943A28">
      <w:pPr>
        <w:spacing w:after="0" w:line="240" w:lineRule="auto"/>
        <w:jc w:val="center"/>
        <w:rPr>
          <w:rFonts w:ascii="Times New Roman" w:hAnsi="Times New Roman" w:cs="Times New Roman"/>
          <w:b/>
          <w:sz w:val="28"/>
          <w:szCs w:val="28"/>
          <w:lang w:val="am-ET"/>
        </w:rPr>
      </w:pPr>
      <w:r w:rsidRPr="00986A82">
        <w:rPr>
          <w:rFonts w:ascii="Times New Roman" w:hAnsi="Times New Roman" w:cs="Times New Roman"/>
          <w:b/>
          <w:sz w:val="28"/>
          <w:szCs w:val="28"/>
          <w:lang w:val="am-ET"/>
        </w:rPr>
        <w:t>và số thuế dự tính theo mức điều chỉnh</w:t>
      </w:r>
    </w:p>
    <w:p w:rsidR="00035974" w:rsidRPr="00986A82" w:rsidRDefault="00035974" w:rsidP="00035974">
      <w:pPr>
        <w:spacing w:before="120" w:after="120" w:line="240" w:lineRule="auto"/>
        <w:jc w:val="right"/>
        <w:rPr>
          <w:rFonts w:ascii="Times New Roman" w:hAnsi="Times New Roman" w:cs="Times New Roman"/>
          <w:i/>
          <w:sz w:val="28"/>
          <w:szCs w:val="28"/>
        </w:rPr>
      </w:pPr>
      <w:r w:rsidRPr="00986A82">
        <w:rPr>
          <w:rFonts w:ascii="Times New Roman" w:hAnsi="Times New Roman" w:cs="Times New Roman"/>
          <w:i/>
          <w:sz w:val="28"/>
          <w:szCs w:val="28"/>
        </w:rPr>
        <w:t>Đơn vị: Tỷ</w:t>
      </w:r>
      <w:r w:rsidRPr="00986A82">
        <w:rPr>
          <w:rFonts w:ascii="Times New Roman" w:hAnsi="Times New Roman" w:cs="Times New Roman"/>
          <w:i/>
          <w:sz w:val="28"/>
          <w:szCs w:val="28"/>
          <w:lang w:val="am-ET"/>
        </w:rPr>
        <w:t xml:space="preserve"> đồng</w:t>
      </w:r>
    </w:p>
    <w:tbl>
      <w:tblPr>
        <w:tblStyle w:val="TableGrid"/>
        <w:tblW w:w="0" w:type="auto"/>
        <w:jc w:val="center"/>
        <w:tblLook w:val="04A0" w:firstRow="1" w:lastRow="0" w:firstColumn="1" w:lastColumn="0" w:noHBand="0" w:noVBand="1"/>
      </w:tblPr>
      <w:tblGrid>
        <w:gridCol w:w="1276"/>
        <w:gridCol w:w="2102"/>
        <w:gridCol w:w="2835"/>
        <w:gridCol w:w="2859"/>
      </w:tblGrid>
      <w:tr w:rsidR="00035974" w:rsidRPr="00986A82" w:rsidTr="003C0000">
        <w:trPr>
          <w:jc w:val="center"/>
        </w:trPr>
        <w:tc>
          <w:tcPr>
            <w:tcW w:w="1276" w:type="dxa"/>
            <w:shd w:val="clear" w:color="auto" w:fill="D9D9D9" w:themeFill="background1" w:themeFillShade="D9"/>
            <w:vAlign w:val="center"/>
          </w:tcPr>
          <w:p w:rsidR="00035974" w:rsidRPr="00986A82" w:rsidRDefault="00035974" w:rsidP="00035974">
            <w:pPr>
              <w:jc w:val="center"/>
              <w:rPr>
                <w:rFonts w:ascii="Times New Roman" w:hAnsi="Times New Roman" w:cs="Times New Roman"/>
                <w:b/>
                <w:sz w:val="28"/>
                <w:szCs w:val="28"/>
              </w:rPr>
            </w:pPr>
            <w:r w:rsidRPr="00986A82">
              <w:rPr>
                <w:rFonts w:ascii="Times New Roman" w:hAnsi="Times New Roman" w:cs="Times New Roman"/>
                <w:b/>
                <w:sz w:val="28"/>
                <w:szCs w:val="28"/>
              </w:rPr>
              <w:t>Chỉ tiêu</w:t>
            </w:r>
          </w:p>
        </w:tc>
        <w:tc>
          <w:tcPr>
            <w:tcW w:w="2102" w:type="dxa"/>
            <w:shd w:val="clear" w:color="auto" w:fill="D9D9D9" w:themeFill="background1" w:themeFillShade="D9"/>
            <w:vAlign w:val="center"/>
          </w:tcPr>
          <w:p w:rsidR="00035974" w:rsidRPr="00986A82" w:rsidRDefault="00035974" w:rsidP="00035974">
            <w:pPr>
              <w:jc w:val="center"/>
              <w:rPr>
                <w:rFonts w:ascii="Times New Roman" w:hAnsi="Times New Roman" w:cs="Times New Roman"/>
                <w:b/>
                <w:sz w:val="28"/>
                <w:szCs w:val="28"/>
              </w:rPr>
            </w:pPr>
            <w:r w:rsidRPr="00986A82">
              <w:rPr>
                <w:rFonts w:ascii="Times New Roman" w:hAnsi="Times New Roman" w:cs="Times New Roman"/>
                <w:b/>
                <w:sz w:val="28"/>
                <w:szCs w:val="28"/>
              </w:rPr>
              <w:t>Số người nộp thuế</w:t>
            </w:r>
            <w:r w:rsidR="004C67A5" w:rsidRPr="00986A82">
              <w:rPr>
                <w:rFonts w:ascii="Times New Roman" w:hAnsi="Times New Roman" w:cs="Times New Roman"/>
                <w:b/>
                <w:sz w:val="28"/>
                <w:szCs w:val="28"/>
              </w:rPr>
              <w:t xml:space="preserve"> năm 2019</w:t>
            </w:r>
          </w:p>
          <w:p w:rsidR="004C67A5" w:rsidRPr="00986A82" w:rsidRDefault="004C67A5" w:rsidP="00035974">
            <w:pPr>
              <w:jc w:val="center"/>
              <w:rPr>
                <w:rFonts w:ascii="Times New Roman" w:hAnsi="Times New Roman" w:cs="Times New Roman"/>
                <w:b/>
                <w:sz w:val="28"/>
                <w:szCs w:val="28"/>
              </w:rPr>
            </w:pPr>
            <w:r w:rsidRPr="00986A82">
              <w:rPr>
                <w:rFonts w:ascii="Times New Roman" w:hAnsi="Times New Roman" w:cs="Times New Roman"/>
                <w:b/>
                <w:sz w:val="28"/>
                <w:szCs w:val="28"/>
              </w:rPr>
              <w:t xml:space="preserve">(tạm tính) </w:t>
            </w:r>
          </w:p>
        </w:tc>
        <w:tc>
          <w:tcPr>
            <w:tcW w:w="2835" w:type="dxa"/>
            <w:shd w:val="clear" w:color="auto" w:fill="D9D9D9" w:themeFill="background1" w:themeFillShade="D9"/>
            <w:vAlign w:val="center"/>
          </w:tcPr>
          <w:p w:rsidR="004C67A5" w:rsidRPr="00986A82" w:rsidRDefault="00035974" w:rsidP="00035974">
            <w:pPr>
              <w:jc w:val="center"/>
              <w:rPr>
                <w:rFonts w:ascii="Times New Roman" w:hAnsi="Times New Roman" w:cs="Times New Roman"/>
                <w:b/>
                <w:sz w:val="28"/>
                <w:szCs w:val="28"/>
              </w:rPr>
            </w:pPr>
            <w:r w:rsidRPr="00986A82">
              <w:rPr>
                <w:rFonts w:ascii="Times New Roman" w:hAnsi="Times New Roman" w:cs="Times New Roman"/>
                <w:b/>
                <w:sz w:val="28"/>
                <w:szCs w:val="28"/>
              </w:rPr>
              <w:t>Số thuế TNCN</w:t>
            </w:r>
            <w:r w:rsidR="004C67A5" w:rsidRPr="00986A82">
              <w:rPr>
                <w:rFonts w:ascii="Times New Roman" w:hAnsi="Times New Roman" w:cs="Times New Roman"/>
                <w:b/>
                <w:sz w:val="28"/>
                <w:szCs w:val="28"/>
              </w:rPr>
              <w:t xml:space="preserve"> </w:t>
            </w:r>
          </w:p>
          <w:p w:rsidR="00035974" w:rsidRPr="00986A82" w:rsidRDefault="004C67A5" w:rsidP="00035974">
            <w:pPr>
              <w:jc w:val="center"/>
              <w:rPr>
                <w:rFonts w:ascii="Times New Roman" w:hAnsi="Times New Roman" w:cs="Times New Roman"/>
                <w:b/>
                <w:sz w:val="28"/>
                <w:szCs w:val="28"/>
              </w:rPr>
            </w:pPr>
            <w:r w:rsidRPr="00986A82">
              <w:rPr>
                <w:rFonts w:ascii="Times New Roman" w:hAnsi="Times New Roman" w:cs="Times New Roman"/>
                <w:b/>
                <w:sz w:val="28"/>
                <w:szCs w:val="28"/>
              </w:rPr>
              <w:t>năm 2019 (tạm tính)</w:t>
            </w:r>
          </w:p>
        </w:tc>
        <w:tc>
          <w:tcPr>
            <w:tcW w:w="2859" w:type="dxa"/>
            <w:shd w:val="clear" w:color="auto" w:fill="D9D9D9" w:themeFill="background1" w:themeFillShade="D9"/>
            <w:vAlign w:val="center"/>
          </w:tcPr>
          <w:p w:rsidR="00035974" w:rsidRPr="00986A82" w:rsidRDefault="00035974" w:rsidP="00DB24DE">
            <w:pPr>
              <w:jc w:val="center"/>
              <w:rPr>
                <w:rFonts w:ascii="Times New Roman" w:hAnsi="Times New Roman" w:cs="Times New Roman"/>
                <w:b/>
                <w:sz w:val="28"/>
                <w:szCs w:val="28"/>
              </w:rPr>
            </w:pPr>
            <w:r w:rsidRPr="00986A82">
              <w:rPr>
                <w:rFonts w:ascii="Times New Roman" w:hAnsi="Times New Roman" w:cs="Times New Roman"/>
                <w:b/>
                <w:sz w:val="28"/>
                <w:szCs w:val="28"/>
              </w:rPr>
              <w:t xml:space="preserve">Số thuế TNCN dự tính theo mức </w:t>
            </w:r>
            <w:r w:rsidR="00DB24DE" w:rsidRPr="00986A82">
              <w:rPr>
                <w:rFonts w:ascii="Times New Roman" w:hAnsi="Times New Roman" w:cs="Times New Roman"/>
                <w:b/>
                <w:sz w:val="28"/>
                <w:szCs w:val="28"/>
                <w:lang w:val="nl-NL"/>
              </w:rPr>
              <w:t>GTGC mới</w:t>
            </w:r>
          </w:p>
        </w:tc>
      </w:tr>
      <w:tr w:rsidR="004C67A5" w:rsidRPr="00986A82" w:rsidTr="00A241CD">
        <w:trPr>
          <w:jc w:val="center"/>
        </w:trPr>
        <w:tc>
          <w:tcPr>
            <w:tcW w:w="1276" w:type="dxa"/>
          </w:tcPr>
          <w:p w:rsidR="004C67A5" w:rsidRPr="00986A82" w:rsidRDefault="004C67A5" w:rsidP="00035974">
            <w:pPr>
              <w:jc w:val="center"/>
              <w:rPr>
                <w:rFonts w:ascii="Times New Roman" w:hAnsi="Times New Roman" w:cs="Times New Roman"/>
                <w:sz w:val="28"/>
                <w:szCs w:val="28"/>
              </w:rPr>
            </w:pPr>
            <w:r w:rsidRPr="00986A82">
              <w:rPr>
                <w:rFonts w:ascii="Times New Roman" w:hAnsi="Times New Roman" w:cs="Times New Roman"/>
                <w:sz w:val="28"/>
                <w:szCs w:val="28"/>
              </w:rPr>
              <w:t>Bậc 1</w:t>
            </w:r>
          </w:p>
        </w:tc>
        <w:tc>
          <w:tcPr>
            <w:tcW w:w="2102" w:type="dxa"/>
          </w:tcPr>
          <w:p w:rsidR="004C67A5" w:rsidRPr="00986A82" w:rsidRDefault="004C67A5" w:rsidP="009F10F6">
            <w:pPr>
              <w:jc w:val="right"/>
              <w:rPr>
                <w:rFonts w:ascii="Times New Roman" w:hAnsi="Times New Roman" w:cs="Times New Roman"/>
                <w:sz w:val="28"/>
                <w:szCs w:val="28"/>
              </w:rPr>
            </w:pPr>
            <w:r w:rsidRPr="00986A82">
              <w:rPr>
                <w:rFonts w:ascii="Times New Roman" w:hAnsi="Times New Roman" w:cs="Times New Roman"/>
                <w:sz w:val="28"/>
                <w:szCs w:val="28"/>
              </w:rPr>
              <w:t>3.057.050</w:t>
            </w:r>
          </w:p>
        </w:tc>
        <w:tc>
          <w:tcPr>
            <w:tcW w:w="2835" w:type="dxa"/>
            <w:vAlign w:val="bottom"/>
          </w:tcPr>
          <w:p w:rsidR="004C67A5" w:rsidRPr="00986A82" w:rsidRDefault="004C67A5" w:rsidP="009F10F6">
            <w:pPr>
              <w:jc w:val="right"/>
              <w:rPr>
                <w:rFonts w:ascii="Times New Roman" w:hAnsi="Times New Roman" w:cs="Times New Roman"/>
                <w:color w:val="000000"/>
                <w:sz w:val="28"/>
                <w:szCs w:val="28"/>
              </w:rPr>
            </w:pPr>
            <w:r w:rsidRPr="00986A82">
              <w:rPr>
                <w:rFonts w:ascii="Times New Roman" w:hAnsi="Times New Roman" w:cs="Times New Roman"/>
                <w:color w:val="000000"/>
                <w:sz w:val="28"/>
                <w:szCs w:val="28"/>
              </w:rPr>
              <w:t>6.561.532</w:t>
            </w:r>
          </w:p>
        </w:tc>
        <w:tc>
          <w:tcPr>
            <w:tcW w:w="2859" w:type="dxa"/>
            <w:vAlign w:val="bottom"/>
          </w:tcPr>
          <w:p w:rsidR="004C67A5" w:rsidRPr="00986A82" w:rsidRDefault="004C67A5" w:rsidP="009F10F6">
            <w:pPr>
              <w:jc w:val="right"/>
              <w:rPr>
                <w:rFonts w:ascii="Times New Roman" w:hAnsi="Times New Roman" w:cs="Times New Roman"/>
                <w:color w:val="000000"/>
                <w:sz w:val="28"/>
                <w:szCs w:val="28"/>
              </w:rPr>
            </w:pPr>
            <w:r w:rsidRPr="00986A82">
              <w:rPr>
                <w:rFonts w:ascii="Times New Roman" w:hAnsi="Times New Roman" w:cs="Times New Roman"/>
                <w:color w:val="000000"/>
                <w:sz w:val="28"/>
                <w:szCs w:val="28"/>
              </w:rPr>
              <w:t>5.708.533</w:t>
            </w:r>
          </w:p>
        </w:tc>
      </w:tr>
      <w:tr w:rsidR="004C67A5" w:rsidRPr="00986A82" w:rsidTr="00A241CD">
        <w:trPr>
          <w:jc w:val="center"/>
        </w:trPr>
        <w:tc>
          <w:tcPr>
            <w:tcW w:w="1276" w:type="dxa"/>
          </w:tcPr>
          <w:p w:rsidR="004C67A5" w:rsidRPr="00986A82" w:rsidRDefault="004C67A5" w:rsidP="00035974">
            <w:pPr>
              <w:jc w:val="center"/>
              <w:rPr>
                <w:rFonts w:ascii="Times New Roman" w:hAnsi="Times New Roman" w:cs="Times New Roman"/>
                <w:sz w:val="28"/>
                <w:szCs w:val="28"/>
              </w:rPr>
            </w:pPr>
            <w:r w:rsidRPr="00986A82">
              <w:rPr>
                <w:rFonts w:ascii="Times New Roman" w:hAnsi="Times New Roman" w:cs="Times New Roman"/>
                <w:sz w:val="28"/>
                <w:szCs w:val="28"/>
              </w:rPr>
              <w:t>Bậc 2</w:t>
            </w:r>
          </w:p>
        </w:tc>
        <w:tc>
          <w:tcPr>
            <w:tcW w:w="2102" w:type="dxa"/>
          </w:tcPr>
          <w:p w:rsidR="004C67A5" w:rsidRPr="00986A82" w:rsidRDefault="004C67A5" w:rsidP="009F10F6">
            <w:pPr>
              <w:jc w:val="right"/>
              <w:rPr>
                <w:rFonts w:ascii="Times New Roman" w:hAnsi="Times New Roman" w:cs="Times New Roman"/>
                <w:sz w:val="28"/>
                <w:szCs w:val="28"/>
              </w:rPr>
            </w:pPr>
            <w:r w:rsidRPr="00986A82">
              <w:rPr>
                <w:rFonts w:ascii="Times New Roman" w:hAnsi="Times New Roman" w:cs="Times New Roman"/>
                <w:sz w:val="28"/>
                <w:szCs w:val="28"/>
              </w:rPr>
              <w:t>800.218</w:t>
            </w:r>
          </w:p>
        </w:tc>
        <w:tc>
          <w:tcPr>
            <w:tcW w:w="2835" w:type="dxa"/>
            <w:vAlign w:val="bottom"/>
          </w:tcPr>
          <w:p w:rsidR="004C67A5" w:rsidRPr="00986A82" w:rsidRDefault="004C67A5" w:rsidP="009F10F6">
            <w:pPr>
              <w:jc w:val="right"/>
              <w:rPr>
                <w:rFonts w:ascii="Times New Roman" w:hAnsi="Times New Roman" w:cs="Times New Roman"/>
                <w:color w:val="000000"/>
                <w:sz w:val="28"/>
                <w:szCs w:val="28"/>
              </w:rPr>
            </w:pPr>
            <w:r w:rsidRPr="00986A82">
              <w:rPr>
                <w:rFonts w:ascii="Times New Roman" w:hAnsi="Times New Roman" w:cs="Times New Roman"/>
                <w:color w:val="000000"/>
                <w:sz w:val="28"/>
                <w:szCs w:val="28"/>
              </w:rPr>
              <w:t>9.043.971</w:t>
            </w:r>
          </w:p>
        </w:tc>
        <w:tc>
          <w:tcPr>
            <w:tcW w:w="2859" w:type="dxa"/>
            <w:vAlign w:val="bottom"/>
          </w:tcPr>
          <w:p w:rsidR="004C67A5" w:rsidRPr="00986A82" w:rsidRDefault="004C67A5" w:rsidP="009F10F6">
            <w:pPr>
              <w:jc w:val="right"/>
              <w:rPr>
                <w:rFonts w:ascii="Times New Roman" w:hAnsi="Times New Roman" w:cs="Times New Roman"/>
                <w:color w:val="000000"/>
                <w:sz w:val="28"/>
                <w:szCs w:val="28"/>
              </w:rPr>
            </w:pPr>
            <w:r w:rsidRPr="00986A82">
              <w:rPr>
                <w:rFonts w:ascii="Times New Roman" w:hAnsi="Times New Roman" w:cs="Times New Roman"/>
                <w:color w:val="000000"/>
                <w:sz w:val="28"/>
                <w:szCs w:val="28"/>
              </w:rPr>
              <w:t>7.868.255</w:t>
            </w:r>
          </w:p>
        </w:tc>
      </w:tr>
      <w:tr w:rsidR="004C67A5" w:rsidRPr="00986A82" w:rsidTr="00A241CD">
        <w:trPr>
          <w:jc w:val="center"/>
        </w:trPr>
        <w:tc>
          <w:tcPr>
            <w:tcW w:w="1276" w:type="dxa"/>
          </w:tcPr>
          <w:p w:rsidR="004C67A5" w:rsidRPr="00986A82" w:rsidRDefault="004C67A5" w:rsidP="00035974">
            <w:pPr>
              <w:jc w:val="center"/>
              <w:rPr>
                <w:rFonts w:ascii="Times New Roman" w:hAnsi="Times New Roman" w:cs="Times New Roman"/>
                <w:sz w:val="28"/>
                <w:szCs w:val="28"/>
              </w:rPr>
            </w:pPr>
            <w:r w:rsidRPr="00986A82">
              <w:rPr>
                <w:rFonts w:ascii="Times New Roman" w:hAnsi="Times New Roman" w:cs="Times New Roman"/>
                <w:sz w:val="28"/>
                <w:szCs w:val="28"/>
              </w:rPr>
              <w:t>Bậc 3</w:t>
            </w:r>
          </w:p>
        </w:tc>
        <w:tc>
          <w:tcPr>
            <w:tcW w:w="2102" w:type="dxa"/>
          </w:tcPr>
          <w:p w:rsidR="004C67A5" w:rsidRPr="00986A82" w:rsidRDefault="004C67A5" w:rsidP="009F10F6">
            <w:pPr>
              <w:jc w:val="right"/>
              <w:rPr>
                <w:rFonts w:ascii="Times New Roman" w:hAnsi="Times New Roman" w:cs="Times New Roman"/>
                <w:sz w:val="28"/>
                <w:szCs w:val="28"/>
              </w:rPr>
            </w:pPr>
            <w:r w:rsidRPr="00986A82">
              <w:rPr>
                <w:rFonts w:ascii="Times New Roman" w:hAnsi="Times New Roman" w:cs="Times New Roman"/>
                <w:sz w:val="28"/>
                <w:szCs w:val="28"/>
              </w:rPr>
              <w:t>202.210</w:t>
            </w:r>
          </w:p>
        </w:tc>
        <w:tc>
          <w:tcPr>
            <w:tcW w:w="2835" w:type="dxa"/>
            <w:vAlign w:val="bottom"/>
          </w:tcPr>
          <w:p w:rsidR="004C67A5" w:rsidRPr="00986A82" w:rsidRDefault="004C67A5" w:rsidP="009F10F6">
            <w:pPr>
              <w:jc w:val="right"/>
              <w:rPr>
                <w:rFonts w:ascii="Times New Roman" w:hAnsi="Times New Roman" w:cs="Times New Roman"/>
                <w:color w:val="000000"/>
                <w:sz w:val="28"/>
                <w:szCs w:val="28"/>
              </w:rPr>
            </w:pPr>
            <w:r w:rsidRPr="00986A82">
              <w:rPr>
                <w:rFonts w:ascii="Times New Roman" w:hAnsi="Times New Roman" w:cs="Times New Roman"/>
                <w:color w:val="000000"/>
                <w:sz w:val="28"/>
                <w:szCs w:val="28"/>
              </w:rPr>
              <w:t>7.234.323</w:t>
            </w:r>
          </w:p>
        </w:tc>
        <w:tc>
          <w:tcPr>
            <w:tcW w:w="2859" w:type="dxa"/>
            <w:vAlign w:val="bottom"/>
          </w:tcPr>
          <w:p w:rsidR="004C67A5" w:rsidRPr="00986A82" w:rsidRDefault="004C67A5" w:rsidP="009F10F6">
            <w:pPr>
              <w:jc w:val="right"/>
              <w:rPr>
                <w:rFonts w:ascii="Times New Roman" w:hAnsi="Times New Roman" w:cs="Times New Roman"/>
                <w:color w:val="000000"/>
                <w:sz w:val="28"/>
                <w:szCs w:val="28"/>
              </w:rPr>
            </w:pPr>
            <w:r w:rsidRPr="00986A82">
              <w:rPr>
                <w:rFonts w:ascii="Times New Roman" w:hAnsi="Times New Roman" w:cs="Times New Roman"/>
                <w:color w:val="000000"/>
                <w:sz w:val="28"/>
                <w:szCs w:val="28"/>
              </w:rPr>
              <w:t>6.293.861</w:t>
            </w:r>
          </w:p>
        </w:tc>
      </w:tr>
      <w:tr w:rsidR="004C67A5" w:rsidRPr="00986A82" w:rsidTr="00A241CD">
        <w:trPr>
          <w:jc w:val="center"/>
        </w:trPr>
        <w:tc>
          <w:tcPr>
            <w:tcW w:w="1276" w:type="dxa"/>
          </w:tcPr>
          <w:p w:rsidR="004C67A5" w:rsidRPr="00986A82" w:rsidRDefault="004C67A5" w:rsidP="00035974">
            <w:pPr>
              <w:jc w:val="center"/>
              <w:rPr>
                <w:rFonts w:ascii="Times New Roman" w:hAnsi="Times New Roman" w:cs="Times New Roman"/>
                <w:sz w:val="28"/>
                <w:szCs w:val="28"/>
              </w:rPr>
            </w:pPr>
            <w:r w:rsidRPr="00986A82">
              <w:rPr>
                <w:rFonts w:ascii="Times New Roman" w:hAnsi="Times New Roman" w:cs="Times New Roman"/>
                <w:sz w:val="28"/>
                <w:szCs w:val="28"/>
              </w:rPr>
              <w:t>Bậc 4</w:t>
            </w:r>
          </w:p>
        </w:tc>
        <w:tc>
          <w:tcPr>
            <w:tcW w:w="2102" w:type="dxa"/>
          </w:tcPr>
          <w:p w:rsidR="004C67A5" w:rsidRPr="00986A82" w:rsidRDefault="004C67A5" w:rsidP="009F10F6">
            <w:pPr>
              <w:jc w:val="right"/>
              <w:rPr>
                <w:rFonts w:ascii="Times New Roman" w:hAnsi="Times New Roman" w:cs="Times New Roman"/>
                <w:sz w:val="28"/>
                <w:szCs w:val="28"/>
              </w:rPr>
            </w:pPr>
            <w:r w:rsidRPr="00986A82">
              <w:rPr>
                <w:rFonts w:ascii="Times New Roman" w:hAnsi="Times New Roman" w:cs="Times New Roman"/>
                <w:sz w:val="28"/>
                <w:szCs w:val="28"/>
              </w:rPr>
              <w:t>2.714.935</w:t>
            </w:r>
          </w:p>
        </w:tc>
        <w:tc>
          <w:tcPr>
            <w:tcW w:w="2835" w:type="dxa"/>
            <w:vAlign w:val="bottom"/>
          </w:tcPr>
          <w:p w:rsidR="004C67A5" w:rsidRPr="00986A82" w:rsidRDefault="004C67A5" w:rsidP="009F10F6">
            <w:pPr>
              <w:jc w:val="right"/>
              <w:rPr>
                <w:rFonts w:ascii="Times New Roman" w:hAnsi="Times New Roman" w:cs="Times New Roman"/>
                <w:color w:val="000000"/>
                <w:sz w:val="28"/>
                <w:szCs w:val="28"/>
              </w:rPr>
            </w:pPr>
            <w:r w:rsidRPr="00986A82">
              <w:rPr>
                <w:rFonts w:ascii="Times New Roman" w:hAnsi="Times New Roman" w:cs="Times New Roman"/>
                <w:color w:val="000000"/>
                <w:sz w:val="28"/>
                <w:szCs w:val="28"/>
              </w:rPr>
              <w:t>8.526.147</w:t>
            </w:r>
          </w:p>
        </w:tc>
        <w:tc>
          <w:tcPr>
            <w:tcW w:w="2859" w:type="dxa"/>
            <w:vAlign w:val="bottom"/>
          </w:tcPr>
          <w:p w:rsidR="004C67A5" w:rsidRPr="00986A82" w:rsidRDefault="004C67A5" w:rsidP="009F10F6">
            <w:pPr>
              <w:jc w:val="right"/>
              <w:rPr>
                <w:rFonts w:ascii="Times New Roman" w:hAnsi="Times New Roman" w:cs="Times New Roman"/>
                <w:color w:val="000000"/>
                <w:sz w:val="28"/>
                <w:szCs w:val="28"/>
              </w:rPr>
            </w:pPr>
            <w:r w:rsidRPr="00986A82">
              <w:rPr>
                <w:rFonts w:ascii="Times New Roman" w:hAnsi="Times New Roman" w:cs="Times New Roman"/>
                <w:color w:val="000000"/>
                <w:sz w:val="28"/>
                <w:szCs w:val="28"/>
              </w:rPr>
              <w:t>7.417.748</w:t>
            </w:r>
          </w:p>
        </w:tc>
      </w:tr>
      <w:tr w:rsidR="004C67A5" w:rsidRPr="00986A82" w:rsidTr="00A241CD">
        <w:trPr>
          <w:jc w:val="center"/>
        </w:trPr>
        <w:tc>
          <w:tcPr>
            <w:tcW w:w="1276" w:type="dxa"/>
          </w:tcPr>
          <w:p w:rsidR="004C67A5" w:rsidRPr="00986A82" w:rsidRDefault="004C67A5" w:rsidP="00035974">
            <w:pPr>
              <w:jc w:val="center"/>
              <w:rPr>
                <w:rFonts w:ascii="Times New Roman" w:hAnsi="Times New Roman" w:cs="Times New Roman"/>
                <w:sz w:val="28"/>
                <w:szCs w:val="28"/>
              </w:rPr>
            </w:pPr>
            <w:r w:rsidRPr="00986A82">
              <w:rPr>
                <w:rFonts w:ascii="Times New Roman" w:hAnsi="Times New Roman" w:cs="Times New Roman"/>
                <w:sz w:val="28"/>
                <w:szCs w:val="28"/>
              </w:rPr>
              <w:t>Bậc 5</w:t>
            </w:r>
          </w:p>
        </w:tc>
        <w:tc>
          <w:tcPr>
            <w:tcW w:w="2102" w:type="dxa"/>
          </w:tcPr>
          <w:p w:rsidR="004C67A5" w:rsidRPr="00986A82" w:rsidRDefault="004C67A5" w:rsidP="009F10F6">
            <w:pPr>
              <w:jc w:val="right"/>
              <w:rPr>
                <w:rFonts w:ascii="Times New Roman" w:hAnsi="Times New Roman" w:cs="Times New Roman"/>
                <w:sz w:val="28"/>
                <w:szCs w:val="28"/>
              </w:rPr>
            </w:pPr>
            <w:r w:rsidRPr="00986A82">
              <w:rPr>
                <w:rFonts w:ascii="Times New Roman" w:hAnsi="Times New Roman" w:cs="Times New Roman"/>
                <w:sz w:val="28"/>
                <w:szCs w:val="28"/>
              </w:rPr>
              <w:t>50.026</w:t>
            </w:r>
          </w:p>
        </w:tc>
        <w:tc>
          <w:tcPr>
            <w:tcW w:w="2835" w:type="dxa"/>
            <w:vAlign w:val="bottom"/>
          </w:tcPr>
          <w:p w:rsidR="004C67A5" w:rsidRPr="00986A82" w:rsidRDefault="004C67A5" w:rsidP="009F10F6">
            <w:pPr>
              <w:jc w:val="right"/>
              <w:rPr>
                <w:rFonts w:ascii="Times New Roman" w:hAnsi="Times New Roman" w:cs="Times New Roman"/>
                <w:color w:val="000000"/>
                <w:sz w:val="28"/>
                <w:szCs w:val="28"/>
              </w:rPr>
            </w:pPr>
            <w:r w:rsidRPr="00986A82">
              <w:rPr>
                <w:rFonts w:ascii="Times New Roman" w:hAnsi="Times New Roman" w:cs="Times New Roman"/>
                <w:color w:val="000000"/>
                <w:sz w:val="28"/>
                <w:szCs w:val="28"/>
              </w:rPr>
              <w:t>7.624.277</w:t>
            </w:r>
          </w:p>
        </w:tc>
        <w:tc>
          <w:tcPr>
            <w:tcW w:w="2859" w:type="dxa"/>
            <w:vAlign w:val="bottom"/>
          </w:tcPr>
          <w:p w:rsidR="004C67A5" w:rsidRPr="00986A82" w:rsidRDefault="004C67A5" w:rsidP="009F10F6">
            <w:pPr>
              <w:jc w:val="right"/>
              <w:rPr>
                <w:rFonts w:ascii="Times New Roman" w:hAnsi="Times New Roman" w:cs="Times New Roman"/>
                <w:color w:val="000000"/>
                <w:sz w:val="28"/>
                <w:szCs w:val="28"/>
              </w:rPr>
            </w:pPr>
            <w:r w:rsidRPr="00986A82">
              <w:rPr>
                <w:rFonts w:ascii="Times New Roman" w:hAnsi="Times New Roman" w:cs="Times New Roman"/>
                <w:color w:val="000000"/>
                <w:sz w:val="28"/>
                <w:szCs w:val="28"/>
              </w:rPr>
              <w:t>6.633.121</w:t>
            </w:r>
          </w:p>
        </w:tc>
      </w:tr>
      <w:tr w:rsidR="004C67A5" w:rsidRPr="00986A82" w:rsidTr="00A241CD">
        <w:trPr>
          <w:jc w:val="center"/>
        </w:trPr>
        <w:tc>
          <w:tcPr>
            <w:tcW w:w="1276" w:type="dxa"/>
          </w:tcPr>
          <w:p w:rsidR="004C67A5" w:rsidRPr="00986A82" w:rsidRDefault="004C67A5" w:rsidP="00035974">
            <w:pPr>
              <w:jc w:val="center"/>
              <w:rPr>
                <w:rFonts w:ascii="Times New Roman" w:hAnsi="Times New Roman" w:cs="Times New Roman"/>
                <w:sz w:val="28"/>
                <w:szCs w:val="28"/>
              </w:rPr>
            </w:pPr>
            <w:r w:rsidRPr="00986A82">
              <w:rPr>
                <w:rFonts w:ascii="Times New Roman" w:hAnsi="Times New Roman" w:cs="Times New Roman"/>
                <w:sz w:val="28"/>
                <w:szCs w:val="28"/>
              </w:rPr>
              <w:t>Bậc 6</w:t>
            </w:r>
          </w:p>
        </w:tc>
        <w:tc>
          <w:tcPr>
            <w:tcW w:w="2102" w:type="dxa"/>
          </w:tcPr>
          <w:p w:rsidR="004C67A5" w:rsidRPr="00986A82" w:rsidRDefault="004C67A5" w:rsidP="009F10F6">
            <w:pPr>
              <w:jc w:val="right"/>
              <w:rPr>
                <w:rFonts w:ascii="Times New Roman" w:hAnsi="Times New Roman" w:cs="Times New Roman"/>
                <w:sz w:val="28"/>
                <w:szCs w:val="28"/>
              </w:rPr>
            </w:pPr>
            <w:r w:rsidRPr="00986A82">
              <w:rPr>
                <w:rFonts w:ascii="Times New Roman" w:hAnsi="Times New Roman" w:cs="Times New Roman"/>
                <w:sz w:val="28"/>
                <w:szCs w:val="28"/>
              </w:rPr>
              <w:t>26.104</w:t>
            </w:r>
          </w:p>
        </w:tc>
        <w:tc>
          <w:tcPr>
            <w:tcW w:w="2835" w:type="dxa"/>
            <w:vAlign w:val="bottom"/>
          </w:tcPr>
          <w:p w:rsidR="004C67A5" w:rsidRPr="00986A82" w:rsidRDefault="004C67A5" w:rsidP="009F10F6">
            <w:pPr>
              <w:jc w:val="right"/>
              <w:rPr>
                <w:rFonts w:ascii="Times New Roman" w:hAnsi="Times New Roman" w:cs="Times New Roman"/>
                <w:color w:val="000000"/>
                <w:sz w:val="28"/>
                <w:szCs w:val="28"/>
              </w:rPr>
            </w:pPr>
            <w:r w:rsidRPr="00986A82">
              <w:rPr>
                <w:rFonts w:ascii="Times New Roman" w:hAnsi="Times New Roman" w:cs="Times New Roman"/>
                <w:color w:val="000000"/>
                <w:sz w:val="28"/>
                <w:szCs w:val="28"/>
              </w:rPr>
              <w:t>7.154.142</w:t>
            </w:r>
          </w:p>
        </w:tc>
        <w:tc>
          <w:tcPr>
            <w:tcW w:w="2859" w:type="dxa"/>
            <w:vAlign w:val="bottom"/>
          </w:tcPr>
          <w:p w:rsidR="004C67A5" w:rsidRPr="00986A82" w:rsidRDefault="004C67A5" w:rsidP="009F10F6">
            <w:pPr>
              <w:jc w:val="right"/>
              <w:rPr>
                <w:rFonts w:ascii="Times New Roman" w:hAnsi="Times New Roman" w:cs="Times New Roman"/>
                <w:color w:val="000000"/>
                <w:sz w:val="28"/>
                <w:szCs w:val="28"/>
              </w:rPr>
            </w:pPr>
            <w:r w:rsidRPr="00986A82">
              <w:rPr>
                <w:rFonts w:ascii="Times New Roman" w:hAnsi="Times New Roman" w:cs="Times New Roman"/>
                <w:color w:val="000000"/>
                <w:sz w:val="28"/>
                <w:szCs w:val="28"/>
              </w:rPr>
              <w:t>6.224.104</w:t>
            </w:r>
          </w:p>
        </w:tc>
      </w:tr>
      <w:tr w:rsidR="004C67A5" w:rsidRPr="00986A82" w:rsidTr="00A241CD">
        <w:trPr>
          <w:jc w:val="center"/>
        </w:trPr>
        <w:tc>
          <w:tcPr>
            <w:tcW w:w="1276" w:type="dxa"/>
          </w:tcPr>
          <w:p w:rsidR="004C67A5" w:rsidRPr="00986A82" w:rsidRDefault="004C67A5" w:rsidP="00035974">
            <w:pPr>
              <w:jc w:val="center"/>
              <w:rPr>
                <w:rFonts w:ascii="Times New Roman" w:hAnsi="Times New Roman" w:cs="Times New Roman"/>
                <w:sz w:val="28"/>
                <w:szCs w:val="28"/>
              </w:rPr>
            </w:pPr>
            <w:r w:rsidRPr="00986A82">
              <w:rPr>
                <w:rFonts w:ascii="Times New Roman" w:hAnsi="Times New Roman" w:cs="Times New Roman"/>
                <w:sz w:val="28"/>
                <w:szCs w:val="28"/>
              </w:rPr>
              <w:t>Bậc 7</w:t>
            </w:r>
          </w:p>
        </w:tc>
        <w:tc>
          <w:tcPr>
            <w:tcW w:w="2102" w:type="dxa"/>
          </w:tcPr>
          <w:p w:rsidR="004C67A5" w:rsidRPr="00986A82" w:rsidRDefault="004C67A5" w:rsidP="009F10F6">
            <w:pPr>
              <w:jc w:val="right"/>
              <w:rPr>
                <w:rFonts w:ascii="Times New Roman" w:hAnsi="Times New Roman" w:cs="Times New Roman"/>
                <w:sz w:val="28"/>
                <w:szCs w:val="28"/>
              </w:rPr>
            </w:pPr>
            <w:r w:rsidRPr="00986A82">
              <w:rPr>
                <w:rFonts w:ascii="Times New Roman" w:hAnsi="Times New Roman" w:cs="Times New Roman"/>
                <w:sz w:val="28"/>
                <w:szCs w:val="28"/>
              </w:rPr>
              <w:t>37.602</w:t>
            </w:r>
          </w:p>
        </w:tc>
        <w:tc>
          <w:tcPr>
            <w:tcW w:w="2835" w:type="dxa"/>
            <w:vAlign w:val="bottom"/>
          </w:tcPr>
          <w:p w:rsidR="004C67A5" w:rsidRPr="00986A82" w:rsidRDefault="004C67A5" w:rsidP="009F10F6">
            <w:pPr>
              <w:jc w:val="right"/>
              <w:rPr>
                <w:rFonts w:ascii="Times New Roman" w:hAnsi="Times New Roman" w:cs="Times New Roman"/>
                <w:color w:val="000000"/>
                <w:sz w:val="28"/>
                <w:szCs w:val="28"/>
              </w:rPr>
            </w:pPr>
            <w:r w:rsidRPr="00986A82">
              <w:rPr>
                <w:rFonts w:ascii="Times New Roman" w:hAnsi="Times New Roman" w:cs="Times New Roman"/>
                <w:color w:val="000000"/>
                <w:sz w:val="28"/>
                <w:szCs w:val="28"/>
              </w:rPr>
              <w:t>33.074.578</w:t>
            </w:r>
          </w:p>
        </w:tc>
        <w:tc>
          <w:tcPr>
            <w:tcW w:w="2859" w:type="dxa"/>
            <w:vAlign w:val="bottom"/>
          </w:tcPr>
          <w:p w:rsidR="004C67A5" w:rsidRPr="00986A82" w:rsidRDefault="004C67A5" w:rsidP="009F10F6">
            <w:pPr>
              <w:jc w:val="right"/>
              <w:rPr>
                <w:rFonts w:ascii="Times New Roman" w:hAnsi="Times New Roman" w:cs="Times New Roman"/>
                <w:color w:val="000000"/>
                <w:sz w:val="28"/>
                <w:szCs w:val="28"/>
              </w:rPr>
            </w:pPr>
            <w:r w:rsidRPr="00986A82">
              <w:rPr>
                <w:rFonts w:ascii="Times New Roman" w:hAnsi="Times New Roman" w:cs="Times New Roman"/>
                <w:color w:val="000000"/>
                <w:sz w:val="28"/>
                <w:szCs w:val="28"/>
              </w:rPr>
              <w:t>28.774.882</w:t>
            </w:r>
          </w:p>
        </w:tc>
      </w:tr>
      <w:tr w:rsidR="004C67A5" w:rsidRPr="00986A82" w:rsidTr="00A241CD">
        <w:trPr>
          <w:jc w:val="center"/>
        </w:trPr>
        <w:tc>
          <w:tcPr>
            <w:tcW w:w="1276" w:type="dxa"/>
          </w:tcPr>
          <w:p w:rsidR="004C67A5" w:rsidRPr="00986A82" w:rsidRDefault="004C67A5" w:rsidP="00035974">
            <w:pPr>
              <w:jc w:val="center"/>
              <w:rPr>
                <w:rFonts w:ascii="Times New Roman" w:hAnsi="Times New Roman" w:cs="Times New Roman"/>
                <w:b/>
                <w:sz w:val="28"/>
                <w:szCs w:val="28"/>
              </w:rPr>
            </w:pPr>
            <w:r w:rsidRPr="00986A82">
              <w:rPr>
                <w:rFonts w:ascii="Times New Roman" w:hAnsi="Times New Roman" w:cs="Times New Roman"/>
                <w:b/>
                <w:sz w:val="28"/>
                <w:szCs w:val="28"/>
              </w:rPr>
              <w:t>Tổng</w:t>
            </w:r>
          </w:p>
        </w:tc>
        <w:tc>
          <w:tcPr>
            <w:tcW w:w="2102" w:type="dxa"/>
          </w:tcPr>
          <w:p w:rsidR="004C67A5" w:rsidRPr="00986A82" w:rsidRDefault="004C67A5" w:rsidP="009F10F6">
            <w:pPr>
              <w:jc w:val="right"/>
              <w:rPr>
                <w:rFonts w:ascii="Times New Roman" w:hAnsi="Times New Roman" w:cs="Times New Roman"/>
                <w:b/>
                <w:sz w:val="28"/>
                <w:szCs w:val="28"/>
              </w:rPr>
            </w:pPr>
            <w:r w:rsidRPr="00986A82">
              <w:rPr>
                <w:rFonts w:ascii="Times New Roman" w:hAnsi="Times New Roman" w:cs="Times New Roman"/>
                <w:b/>
                <w:sz w:val="28"/>
                <w:szCs w:val="28"/>
              </w:rPr>
              <w:t>6.888.145</w:t>
            </w:r>
          </w:p>
        </w:tc>
        <w:tc>
          <w:tcPr>
            <w:tcW w:w="2835" w:type="dxa"/>
            <w:vAlign w:val="bottom"/>
          </w:tcPr>
          <w:p w:rsidR="004C67A5" w:rsidRPr="00986A82" w:rsidRDefault="004C67A5" w:rsidP="009F10F6">
            <w:pPr>
              <w:jc w:val="right"/>
              <w:rPr>
                <w:rFonts w:ascii="Times New Roman" w:hAnsi="Times New Roman" w:cs="Times New Roman"/>
                <w:b/>
                <w:color w:val="000000"/>
                <w:sz w:val="28"/>
                <w:szCs w:val="28"/>
              </w:rPr>
            </w:pPr>
            <w:r w:rsidRPr="00986A82">
              <w:rPr>
                <w:rFonts w:ascii="Times New Roman" w:hAnsi="Times New Roman" w:cs="Times New Roman"/>
                <w:b/>
                <w:color w:val="000000"/>
                <w:sz w:val="28"/>
                <w:szCs w:val="28"/>
              </w:rPr>
              <w:t>79.218.974</w:t>
            </w:r>
          </w:p>
        </w:tc>
        <w:tc>
          <w:tcPr>
            <w:tcW w:w="2859" w:type="dxa"/>
            <w:vAlign w:val="bottom"/>
          </w:tcPr>
          <w:p w:rsidR="004C67A5" w:rsidRPr="00986A82" w:rsidRDefault="004C67A5" w:rsidP="009F10F6">
            <w:pPr>
              <w:jc w:val="right"/>
              <w:rPr>
                <w:rFonts w:ascii="Times New Roman" w:hAnsi="Times New Roman" w:cs="Times New Roman"/>
                <w:b/>
                <w:color w:val="000000"/>
                <w:sz w:val="28"/>
                <w:szCs w:val="28"/>
              </w:rPr>
            </w:pPr>
            <w:r w:rsidRPr="00986A82">
              <w:rPr>
                <w:rFonts w:ascii="Times New Roman" w:hAnsi="Times New Roman" w:cs="Times New Roman"/>
                <w:b/>
                <w:color w:val="000000"/>
                <w:sz w:val="28"/>
                <w:szCs w:val="28"/>
              </w:rPr>
              <w:t>68.920.507</w:t>
            </w:r>
          </w:p>
        </w:tc>
      </w:tr>
    </w:tbl>
    <w:p w:rsidR="005816EA" w:rsidRPr="00986A82" w:rsidRDefault="00942073" w:rsidP="008A1012">
      <w:pPr>
        <w:spacing w:after="0" w:line="240" w:lineRule="auto"/>
        <w:ind w:firstLine="720"/>
        <w:jc w:val="both"/>
        <w:rPr>
          <w:rFonts w:ascii="Times New Roman" w:hAnsi="Times New Roman" w:cs="Times New Roman"/>
          <w:i/>
          <w:sz w:val="28"/>
          <w:szCs w:val="28"/>
        </w:rPr>
      </w:pPr>
      <w:r w:rsidRPr="00986A82">
        <w:rPr>
          <w:rFonts w:ascii="Times New Roman" w:hAnsi="Times New Roman" w:cs="Times New Roman"/>
          <w:i/>
          <w:sz w:val="28"/>
          <w:szCs w:val="28"/>
          <w:lang w:val="nl-NL"/>
        </w:rPr>
        <w:lastRenderedPageBreak/>
        <w:t xml:space="preserve">(Số liệu 2019 tạm tính </w:t>
      </w:r>
      <w:r w:rsidR="008A1012" w:rsidRPr="00986A82">
        <w:rPr>
          <w:rFonts w:ascii="Times New Roman" w:hAnsi="Times New Roman" w:cs="Times New Roman"/>
          <w:i/>
          <w:sz w:val="28"/>
          <w:szCs w:val="28"/>
          <w:lang w:val="nl-NL"/>
        </w:rPr>
        <w:t xml:space="preserve">vì chưa đến thời điểm quyết toán thuế TNCN năm 2019 do Luật quản lý thuế hiện hành quy định thời hạn quyết toán thuế TNCN chậm nhất là ngày thứ 90 </w:t>
      </w:r>
      <w:r w:rsidR="008A1012" w:rsidRPr="00986A82">
        <w:rPr>
          <w:rFonts w:ascii="Times New Roman" w:hAnsi="Times New Roman" w:cs="Times New Roman"/>
          <w:i/>
          <w:iCs/>
          <w:color w:val="222222"/>
          <w:sz w:val="28"/>
          <w:szCs w:val="28"/>
          <w:shd w:val="clear" w:color="auto" w:fill="FFFFFF"/>
        </w:rPr>
        <w:t>kể từ ngày kết thúc năm dương lịch hoặc năm tài chính</w:t>
      </w:r>
      <w:r w:rsidRPr="00986A82">
        <w:rPr>
          <w:rFonts w:ascii="Times New Roman" w:hAnsi="Times New Roman" w:cs="Times New Roman"/>
          <w:i/>
          <w:iCs/>
          <w:color w:val="222222"/>
          <w:sz w:val="28"/>
          <w:szCs w:val="28"/>
          <w:shd w:val="clear" w:color="auto" w:fill="FFFFFF"/>
        </w:rPr>
        <w:t>).</w:t>
      </w:r>
    </w:p>
    <w:p w:rsidR="00035974" w:rsidRPr="00986A82" w:rsidRDefault="004C67A5" w:rsidP="00035974">
      <w:pPr>
        <w:widowControl w:val="0"/>
        <w:spacing w:before="120" w:after="120" w:line="240" w:lineRule="auto"/>
        <w:ind w:firstLine="720"/>
        <w:jc w:val="both"/>
        <w:rPr>
          <w:rFonts w:ascii="Times New Roman" w:hAnsi="Times New Roman" w:cs="Times New Roman"/>
          <w:b/>
          <w:sz w:val="28"/>
          <w:szCs w:val="28"/>
          <w:lang w:val="nl-NL"/>
        </w:rPr>
      </w:pPr>
      <w:r w:rsidRPr="00986A82">
        <w:rPr>
          <w:rFonts w:ascii="Times New Roman" w:hAnsi="Times New Roman" w:cs="Times New Roman"/>
          <w:b/>
          <w:sz w:val="28"/>
          <w:szCs w:val="28"/>
          <w:lang w:val="nl-NL"/>
        </w:rPr>
        <w:t xml:space="preserve">- Tác động đối với </w:t>
      </w:r>
      <w:r w:rsidR="00035974" w:rsidRPr="00986A82">
        <w:rPr>
          <w:rFonts w:ascii="Times New Roman" w:hAnsi="Times New Roman" w:cs="Times New Roman"/>
          <w:b/>
          <w:sz w:val="28"/>
          <w:szCs w:val="28"/>
          <w:lang w:val="nl-NL"/>
        </w:rPr>
        <w:t>chi phí hành thu và thủ tục hành chính</w:t>
      </w:r>
    </w:p>
    <w:p w:rsidR="00035974" w:rsidRPr="00986A82" w:rsidRDefault="00035974" w:rsidP="00035974">
      <w:pPr>
        <w:autoSpaceDE w:val="0"/>
        <w:autoSpaceDN w:val="0"/>
        <w:adjustRightInd w:val="0"/>
        <w:spacing w:before="120" w:after="120" w:line="240" w:lineRule="auto"/>
        <w:ind w:firstLine="720"/>
        <w:jc w:val="both"/>
        <w:rPr>
          <w:rFonts w:ascii="Times New Roman" w:hAnsi="Times New Roman" w:cs="Times New Roman"/>
          <w:sz w:val="28"/>
          <w:szCs w:val="28"/>
          <w:shd w:val="clear" w:color="auto" w:fill="FFFFFF"/>
          <w:lang w:val="nl-NL"/>
        </w:rPr>
      </w:pPr>
      <w:r w:rsidRPr="00986A82">
        <w:rPr>
          <w:rFonts w:ascii="Times New Roman" w:hAnsi="Times New Roman" w:cs="Times New Roman"/>
          <w:sz w:val="28"/>
          <w:szCs w:val="28"/>
          <w:shd w:val="clear" w:color="auto" w:fill="FFFFFF"/>
          <w:lang w:val="nl-NL"/>
        </w:rPr>
        <w:t xml:space="preserve">Việc điều chỉnh mức </w:t>
      </w:r>
      <w:r w:rsidR="00054409" w:rsidRPr="00986A82">
        <w:rPr>
          <w:rFonts w:ascii="Times New Roman" w:hAnsi="Times New Roman" w:cs="Times New Roman"/>
          <w:sz w:val="28"/>
          <w:szCs w:val="28"/>
          <w:shd w:val="clear" w:color="auto" w:fill="FFFFFF"/>
          <w:lang w:val="nl-NL"/>
        </w:rPr>
        <w:t>GTGC</w:t>
      </w:r>
      <w:r w:rsidRPr="00986A82">
        <w:rPr>
          <w:rFonts w:ascii="Times New Roman" w:hAnsi="Times New Roman" w:cs="Times New Roman"/>
          <w:sz w:val="28"/>
          <w:szCs w:val="28"/>
          <w:shd w:val="clear" w:color="auto" w:fill="FFFFFF"/>
          <w:lang w:val="nl-NL"/>
        </w:rPr>
        <w:t xml:space="preserve"> để tính thuế TNCN tác động </w:t>
      </w:r>
      <w:r w:rsidR="00942073" w:rsidRPr="00986A82">
        <w:rPr>
          <w:rFonts w:ascii="Times New Roman" w:hAnsi="Times New Roman" w:cs="Times New Roman"/>
          <w:sz w:val="28"/>
          <w:szCs w:val="28"/>
          <w:shd w:val="clear" w:color="auto" w:fill="FFFFFF"/>
          <w:lang w:val="nl-NL"/>
        </w:rPr>
        <w:t xml:space="preserve">không đáng kể </w:t>
      </w:r>
      <w:r w:rsidR="009B4052" w:rsidRPr="00986A82">
        <w:rPr>
          <w:rFonts w:ascii="Times New Roman" w:hAnsi="Times New Roman" w:cs="Times New Roman"/>
          <w:sz w:val="28"/>
          <w:szCs w:val="28"/>
          <w:lang w:val="nl-NL"/>
        </w:rPr>
        <w:t>đến</w:t>
      </w:r>
      <w:r w:rsidRPr="00986A82">
        <w:rPr>
          <w:rFonts w:ascii="Times New Roman" w:hAnsi="Times New Roman" w:cs="Times New Roman"/>
          <w:sz w:val="28"/>
          <w:szCs w:val="28"/>
          <w:shd w:val="clear" w:color="auto" w:fill="FFFFFF"/>
          <w:lang w:val="nl-NL"/>
        </w:rPr>
        <w:t xml:space="preserve"> chi phí hành thu và thủ tục hành chính</w:t>
      </w:r>
      <w:r w:rsidRPr="00986A82">
        <w:rPr>
          <w:rFonts w:ascii="Times New Roman" w:hAnsi="Times New Roman" w:cs="Times New Roman"/>
          <w:sz w:val="28"/>
          <w:szCs w:val="28"/>
          <w:shd w:val="clear" w:color="auto" w:fill="FFFFFF"/>
          <w:lang w:val="am-ET"/>
        </w:rPr>
        <w:t xml:space="preserve">. </w:t>
      </w:r>
    </w:p>
    <w:p w:rsidR="008E6F6C" w:rsidRPr="00986A82" w:rsidRDefault="008E6F6C" w:rsidP="008E6F6C">
      <w:pPr>
        <w:spacing w:before="120" w:after="120" w:line="240" w:lineRule="auto"/>
        <w:ind w:firstLine="709"/>
        <w:jc w:val="both"/>
        <w:rPr>
          <w:rFonts w:ascii="Times New Roman" w:hAnsi="Times New Roman" w:cs="Times New Roman"/>
          <w:sz w:val="28"/>
          <w:szCs w:val="28"/>
          <w:lang w:val="pt-BR"/>
        </w:rPr>
      </w:pPr>
      <w:r w:rsidRPr="00986A82">
        <w:rPr>
          <w:rFonts w:ascii="Times New Roman" w:hAnsi="Times New Roman" w:cs="Times New Roman"/>
          <w:sz w:val="28"/>
          <w:szCs w:val="28"/>
          <w:lang w:val="nl-NL"/>
        </w:rPr>
        <w:t xml:space="preserve">Theo quy định của Luật thuế TNCN và Luật quản lý thuế hiện hành, thuế </w:t>
      </w:r>
      <w:r w:rsidRPr="00986A82">
        <w:rPr>
          <w:rFonts w:ascii="Times New Roman" w:hAnsi="Times New Roman" w:cs="Times New Roman"/>
          <w:sz w:val="28"/>
          <w:szCs w:val="28"/>
          <w:lang w:val="pt-BR"/>
        </w:rPr>
        <w:t>TNCN từ tiền lương, tiền công của cá nhân cư trú có kỳ</w:t>
      </w:r>
      <w:r w:rsidR="00D81045" w:rsidRPr="00986A82">
        <w:rPr>
          <w:rFonts w:ascii="Times New Roman" w:hAnsi="Times New Roman" w:cs="Times New Roman"/>
          <w:sz w:val="28"/>
          <w:szCs w:val="28"/>
          <w:lang w:val="pt-BR"/>
        </w:rPr>
        <w:t xml:space="preserve"> tí</w:t>
      </w:r>
      <w:r w:rsidRPr="00986A82">
        <w:rPr>
          <w:rFonts w:ascii="Times New Roman" w:hAnsi="Times New Roman" w:cs="Times New Roman"/>
          <w:sz w:val="28"/>
          <w:szCs w:val="28"/>
          <w:lang w:val="pt-BR"/>
        </w:rPr>
        <w:t>nh thuế theo năm; t</w:t>
      </w:r>
      <w:r w:rsidRPr="00986A82">
        <w:rPr>
          <w:rFonts w:ascii="Times New Roman" w:eastAsia="Arial" w:hAnsi="Times New Roman" w:cs="Times New Roman"/>
          <w:sz w:val="28"/>
          <w:szCs w:val="28"/>
          <w:lang w:val="nl-NL"/>
        </w:rPr>
        <w:t xml:space="preserve">ổ chức, cá nhân trả thu nhập có trách nhiệm kê khai, </w:t>
      </w:r>
      <w:r w:rsidRPr="00986A82">
        <w:rPr>
          <w:rFonts w:ascii="Times New Roman" w:hAnsi="Times New Roman" w:cs="Times New Roman"/>
          <w:sz w:val="28"/>
          <w:szCs w:val="28"/>
          <w:lang w:val="nl-NL"/>
        </w:rPr>
        <w:t xml:space="preserve">tạm </w:t>
      </w:r>
      <w:r w:rsidRPr="00986A82">
        <w:rPr>
          <w:rFonts w:ascii="Times New Roman" w:eastAsia="Arial" w:hAnsi="Times New Roman" w:cs="Times New Roman"/>
          <w:sz w:val="28"/>
          <w:szCs w:val="28"/>
          <w:lang w:val="nl-NL"/>
        </w:rPr>
        <w:t xml:space="preserve">khấu trừ, nộp thuế vào </w:t>
      </w:r>
      <w:r w:rsidRPr="00986A82">
        <w:rPr>
          <w:rFonts w:ascii="Times New Roman" w:hAnsi="Times New Roman" w:cs="Times New Roman"/>
          <w:sz w:val="28"/>
          <w:szCs w:val="28"/>
          <w:lang w:val="nl-NL"/>
        </w:rPr>
        <w:t xml:space="preserve">NSNN theo tháng hoặc quý; cuối năm thực hiện </w:t>
      </w:r>
      <w:r w:rsidRPr="00986A82">
        <w:rPr>
          <w:rFonts w:ascii="Times New Roman" w:hAnsi="Times New Roman" w:cs="Times New Roman"/>
          <w:color w:val="222222"/>
          <w:sz w:val="28"/>
          <w:szCs w:val="28"/>
          <w:shd w:val="clear" w:color="auto" w:fill="FFFFFF"/>
        </w:rPr>
        <w:t>quyết toán thuế chậm nhất là ngày thứ 90, kể từ ngày kết thúc năm dương lịch hoặc năm tài chính</w:t>
      </w:r>
      <w:r w:rsidRPr="00986A82">
        <w:rPr>
          <w:rFonts w:ascii="Times New Roman" w:hAnsi="Times New Roman" w:cs="Times New Roman"/>
          <w:sz w:val="28"/>
          <w:szCs w:val="28"/>
          <w:lang w:val="pt-BR"/>
        </w:rPr>
        <w:t>.</w:t>
      </w:r>
    </w:p>
    <w:p w:rsidR="00C40336" w:rsidRPr="00986A82" w:rsidRDefault="009B4052" w:rsidP="00C40336">
      <w:pPr>
        <w:spacing w:before="120" w:after="120" w:line="240" w:lineRule="auto"/>
        <w:ind w:firstLine="720"/>
        <w:jc w:val="both"/>
        <w:rPr>
          <w:rFonts w:ascii="Times New Roman" w:hAnsi="Times New Roman" w:cs="Times New Roman"/>
          <w:sz w:val="28"/>
          <w:szCs w:val="28"/>
          <w:lang w:val="sv-SE"/>
        </w:rPr>
      </w:pPr>
      <w:r w:rsidRPr="00986A82">
        <w:rPr>
          <w:rFonts w:ascii="Times New Roman" w:hAnsi="Times New Roman" w:cs="Times New Roman"/>
          <w:color w:val="000000"/>
          <w:sz w:val="28"/>
          <w:szCs w:val="28"/>
          <w:lang w:val="nl-NL"/>
        </w:rPr>
        <w:t xml:space="preserve">Mức GTGC mới sẽ được </w:t>
      </w:r>
      <w:r w:rsidRPr="00986A82">
        <w:rPr>
          <w:rFonts w:ascii="Times New Roman" w:hAnsi="Times New Roman" w:cs="Times New Roman"/>
          <w:sz w:val="28"/>
          <w:szCs w:val="28"/>
          <w:lang w:val="nl-NL"/>
        </w:rPr>
        <w:t>thực hiện kể từ k</w:t>
      </w:r>
      <w:r w:rsidRPr="00986A82">
        <w:rPr>
          <w:rFonts w:ascii="Times New Roman" w:hAnsi="Times New Roman" w:cs="Times New Roman"/>
          <w:color w:val="000000"/>
          <w:sz w:val="28"/>
          <w:szCs w:val="28"/>
          <w:lang w:val="nl-NL"/>
        </w:rPr>
        <w:t xml:space="preserve">hi Nghị quyết có hiệu lực thi hành và áp dụng </w:t>
      </w:r>
      <w:r w:rsidRPr="00986A82">
        <w:rPr>
          <w:rFonts w:ascii="Times New Roman" w:eastAsia="Arial" w:hAnsi="Times New Roman" w:cs="Times New Roman"/>
          <w:sz w:val="28"/>
          <w:szCs w:val="28"/>
          <w:lang w:val="nl-NL"/>
        </w:rPr>
        <w:t>cho kỳ tính thuế năm 2020</w:t>
      </w:r>
      <w:r w:rsidRPr="00986A82">
        <w:rPr>
          <w:rFonts w:ascii="Times New Roman" w:hAnsi="Times New Roman" w:cs="Times New Roman"/>
          <w:color w:val="000000"/>
          <w:sz w:val="28"/>
          <w:szCs w:val="28"/>
          <w:lang w:val="nl-NL"/>
        </w:rPr>
        <w:t xml:space="preserve">. </w:t>
      </w:r>
      <w:r w:rsidR="00C40336" w:rsidRPr="00986A82">
        <w:rPr>
          <w:rFonts w:ascii="Times New Roman" w:hAnsi="Times New Roman" w:cs="Times New Roman"/>
          <w:color w:val="000000"/>
          <w:sz w:val="28"/>
          <w:szCs w:val="28"/>
          <w:lang w:val="nl-NL"/>
        </w:rPr>
        <w:t xml:space="preserve">Trường hợp </w:t>
      </w:r>
      <w:r w:rsidR="00C40336" w:rsidRPr="00986A82">
        <w:rPr>
          <w:rFonts w:ascii="Times New Roman" w:hAnsi="Times New Roman" w:cs="Times New Roman"/>
          <w:sz w:val="28"/>
          <w:szCs w:val="28"/>
          <w:lang w:val="nl-NL"/>
        </w:rPr>
        <w:t xml:space="preserve">đã tạm nộp </w:t>
      </w:r>
      <w:r w:rsidR="00C40336" w:rsidRPr="00986A82">
        <w:rPr>
          <w:rFonts w:ascii="Times New Roman" w:hAnsi="Times New Roman" w:cs="Times New Roman"/>
          <w:color w:val="000000"/>
          <w:sz w:val="28"/>
          <w:szCs w:val="28"/>
          <w:lang w:val="nl-NL"/>
        </w:rPr>
        <w:t>thuế theo mức GTGC</w:t>
      </w:r>
      <w:r w:rsidR="00C40336" w:rsidRPr="00986A82">
        <w:rPr>
          <w:rFonts w:ascii="Times New Roman" w:hAnsi="Times New Roman" w:cs="Times New Roman"/>
          <w:sz w:val="28"/>
          <w:szCs w:val="28"/>
          <w:lang w:val="nl-NL"/>
        </w:rPr>
        <w:t xml:space="preserve"> cũ</w:t>
      </w:r>
      <w:r w:rsidR="00C40336" w:rsidRPr="00986A82">
        <w:rPr>
          <w:rFonts w:ascii="Times New Roman" w:hAnsi="Times New Roman" w:cs="Times New Roman"/>
          <w:sz w:val="28"/>
          <w:szCs w:val="28"/>
          <w:lang w:val="sv-SE"/>
        </w:rPr>
        <w:t xml:space="preserve"> </w:t>
      </w:r>
      <w:r w:rsidR="00C40336" w:rsidRPr="00986A82">
        <w:rPr>
          <w:rFonts w:ascii="Times New Roman" w:hAnsi="Times New Roman" w:cs="Times New Roman"/>
          <w:color w:val="000000"/>
          <w:sz w:val="28"/>
          <w:szCs w:val="28"/>
          <w:lang w:val="nl-NL"/>
        </w:rPr>
        <w:t>(9 triệu đồng/tháng đối với đối tượng nộp thuế và 3,6 triệu đồng/tháng đối với mỗi người phụ thuộc) sẽ được xác định số thuế TNCN</w:t>
      </w:r>
      <w:r w:rsidR="00C40336" w:rsidRPr="00986A82">
        <w:rPr>
          <w:rFonts w:ascii="Times New Roman" w:hAnsi="Times New Roman" w:cs="Times New Roman"/>
          <w:bCs/>
          <w:iCs/>
          <w:sz w:val="28"/>
          <w:szCs w:val="28"/>
          <w:lang w:val="nl-NL" w:eastAsia="ja-JP"/>
        </w:rPr>
        <w:t xml:space="preserve"> phải nộp </w:t>
      </w:r>
      <w:r w:rsidR="00C40336" w:rsidRPr="00986A82">
        <w:rPr>
          <w:rFonts w:ascii="Times New Roman" w:hAnsi="Times New Roman" w:cs="Times New Roman"/>
          <w:color w:val="000000"/>
          <w:sz w:val="28"/>
          <w:szCs w:val="28"/>
          <w:lang w:val="nl-NL"/>
        </w:rPr>
        <w:t>theo mức GTGC</w:t>
      </w:r>
      <w:r w:rsidR="00C40336" w:rsidRPr="00986A82">
        <w:rPr>
          <w:rFonts w:ascii="Times New Roman" w:hAnsi="Times New Roman" w:cs="Times New Roman"/>
          <w:sz w:val="28"/>
          <w:szCs w:val="28"/>
          <w:lang w:val="nl-NL"/>
        </w:rPr>
        <w:t xml:space="preserve"> mới </w:t>
      </w:r>
      <w:r w:rsidR="00C40336" w:rsidRPr="00986A82">
        <w:rPr>
          <w:rFonts w:ascii="Times New Roman" w:hAnsi="Times New Roman" w:cs="Times New Roman"/>
          <w:color w:val="000000"/>
          <w:sz w:val="28"/>
          <w:szCs w:val="28"/>
          <w:lang w:val="nl-NL"/>
        </w:rPr>
        <w:t xml:space="preserve">khi quyết toán thuế </w:t>
      </w:r>
      <w:r w:rsidR="00D81045" w:rsidRPr="00986A82">
        <w:rPr>
          <w:rFonts w:ascii="Times New Roman" w:hAnsi="Times New Roman" w:cs="Times New Roman"/>
          <w:color w:val="000000"/>
          <w:sz w:val="28"/>
          <w:szCs w:val="28"/>
          <w:lang w:val="nl-NL"/>
        </w:rPr>
        <w:t>TNCN</w:t>
      </w:r>
      <w:r w:rsidR="00C40336" w:rsidRPr="00986A82">
        <w:rPr>
          <w:rFonts w:ascii="Times New Roman" w:hAnsi="Times New Roman" w:cs="Times New Roman"/>
          <w:color w:val="000000"/>
          <w:sz w:val="28"/>
          <w:szCs w:val="28"/>
          <w:lang w:val="nl-NL"/>
        </w:rPr>
        <w:t xml:space="preserve"> năm 2020</w:t>
      </w:r>
      <w:r w:rsidR="00C40336" w:rsidRPr="00986A82">
        <w:rPr>
          <w:rFonts w:ascii="Times New Roman" w:hAnsi="Times New Roman" w:cs="Times New Roman"/>
          <w:sz w:val="28"/>
          <w:szCs w:val="28"/>
        </w:rPr>
        <w:t>.</w:t>
      </w:r>
    </w:p>
    <w:p w:rsidR="006955E4" w:rsidRPr="00986A82" w:rsidRDefault="006955E4" w:rsidP="006955E4">
      <w:pPr>
        <w:widowControl w:val="0"/>
        <w:spacing w:before="120" w:after="120" w:line="240" w:lineRule="auto"/>
        <w:ind w:firstLine="720"/>
        <w:jc w:val="both"/>
        <w:rPr>
          <w:rFonts w:ascii="Times New Roman" w:hAnsi="Times New Roman" w:cs="Times New Roman"/>
          <w:b/>
          <w:sz w:val="28"/>
          <w:szCs w:val="28"/>
          <w:lang w:val="am-ET"/>
        </w:rPr>
      </w:pPr>
      <w:r w:rsidRPr="00986A82">
        <w:rPr>
          <w:rFonts w:ascii="Times New Roman" w:hAnsi="Times New Roman" w:cs="Times New Roman"/>
          <w:b/>
          <w:sz w:val="28"/>
          <w:szCs w:val="28"/>
          <w:lang w:val="am-ET"/>
        </w:rPr>
        <w:t>III. KẾT LUẬN</w:t>
      </w:r>
    </w:p>
    <w:p w:rsidR="006955E4" w:rsidRPr="00986A82" w:rsidRDefault="00AB269A" w:rsidP="009B4052">
      <w:pPr>
        <w:spacing w:before="120" w:after="120" w:line="240" w:lineRule="auto"/>
        <w:ind w:firstLine="720"/>
        <w:jc w:val="both"/>
        <w:rPr>
          <w:rFonts w:ascii="Times New Roman" w:hAnsi="Times New Roman" w:cs="Times New Roman"/>
          <w:sz w:val="28"/>
          <w:szCs w:val="28"/>
          <w:lang w:val="nl-NL"/>
        </w:rPr>
      </w:pPr>
      <w:r w:rsidRPr="00986A82">
        <w:rPr>
          <w:rFonts w:ascii="Times New Roman" w:hAnsi="Times New Roman" w:cs="Times New Roman"/>
          <w:sz w:val="28"/>
          <w:szCs w:val="28"/>
          <w:lang w:val="nl-NL"/>
        </w:rPr>
        <w:t>V</w:t>
      </w:r>
      <w:r w:rsidR="006955E4" w:rsidRPr="00986A82">
        <w:rPr>
          <w:rFonts w:ascii="Times New Roman" w:hAnsi="Times New Roman" w:cs="Times New Roman"/>
          <w:sz w:val="28"/>
          <w:szCs w:val="28"/>
          <w:lang w:val="nl-NL"/>
        </w:rPr>
        <w:t xml:space="preserve">iệc điều chỉnh nâng mức </w:t>
      </w:r>
      <w:r w:rsidR="00054409" w:rsidRPr="00986A82">
        <w:rPr>
          <w:rFonts w:ascii="Times New Roman" w:hAnsi="Times New Roman" w:cs="Times New Roman"/>
          <w:sz w:val="28"/>
          <w:szCs w:val="28"/>
          <w:lang w:val="nl-NL"/>
        </w:rPr>
        <w:t>GTGC</w:t>
      </w:r>
      <w:r w:rsidR="006955E4" w:rsidRPr="00986A82">
        <w:rPr>
          <w:rFonts w:ascii="Times New Roman" w:hAnsi="Times New Roman" w:cs="Times New Roman"/>
          <w:sz w:val="28"/>
          <w:szCs w:val="28"/>
          <w:lang w:val="nl-NL"/>
        </w:rPr>
        <w:t xml:space="preserve"> tính thuế TNCN là cần thiết </w:t>
      </w:r>
      <w:r w:rsidR="009B4052" w:rsidRPr="00986A82">
        <w:rPr>
          <w:rFonts w:ascii="Times New Roman" w:hAnsi="Times New Roman" w:cs="Times New Roman"/>
          <w:sz w:val="28"/>
          <w:szCs w:val="28"/>
          <w:lang w:val="nl-NL"/>
        </w:rPr>
        <w:t xml:space="preserve">và thực hiện theo đúng quy định của Luật số 26/2012/QH13; </w:t>
      </w:r>
      <w:r w:rsidR="006955E4" w:rsidRPr="00986A82">
        <w:rPr>
          <w:rFonts w:ascii="Times New Roman" w:hAnsi="Times New Roman" w:cs="Times New Roman"/>
          <w:sz w:val="28"/>
          <w:szCs w:val="28"/>
          <w:lang w:val="nl-NL"/>
        </w:rPr>
        <w:t>đảm bảo mục tiêu của thuế TNCN là góp phần</w:t>
      </w:r>
      <w:r w:rsidR="006955E4" w:rsidRPr="00986A82">
        <w:rPr>
          <w:rFonts w:ascii="Times New Roman" w:hAnsi="Times New Roman" w:cs="Times New Roman"/>
          <w:sz w:val="28"/>
          <w:szCs w:val="28"/>
          <w:lang w:val="am-ET"/>
        </w:rPr>
        <w:t xml:space="preserve"> điều tiết hợp lý thu nhập</w:t>
      </w:r>
      <w:r w:rsidR="006955E4" w:rsidRPr="00986A82">
        <w:rPr>
          <w:rFonts w:ascii="Times New Roman" w:hAnsi="Times New Roman" w:cs="Times New Roman"/>
          <w:sz w:val="28"/>
          <w:szCs w:val="28"/>
          <w:lang w:val="nl-NL"/>
        </w:rPr>
        <w:t>,</w:t>
      </w:r>
      <w:r w:rsidR="006955E4" w:rsidRPr="00986A82">
        <w:rPr>
          <w:rFonts w:ascii="Times New Roman" w:hAnsi="Times New Roman" w:cs="Times New Roman"/>
          <w:sz w:val="28"/>
          <w:szCs w:val="28"/>
          <w:lang w:val="am-ET"/>
        </w:rPr>
        <w:t xml:space="preserve"> thực hiện công bằng xã hội, hạn chế chênh lệch giàu nghèo.</w:t>
      </w:r>
      <w:r w:rsidR="006955E4" w:rsidRPr="00986A82">
        <w:rPr>
          <w:rFonts w:ascii="Times New Roman" w:hAnsi="Times New Roman" w:cs="Times New Roman"/>
          <w:sz w:val="28"/>
          <w:szCs w:val="28"/>
          <w:lang w:val="nl-NL"/>
        </w:rPr>
        <w:t xml:space="preserve"> Cùng với sự phát triển chung của nền kinh tế, đời sống người dân sẽ nâng lên, mức độ động viên từ thuế TNCN cũng sẽ tăng dần, qua đó góp phần cơ cấu lại </w:t>
      </w:r>
      <w:r w:rsidR="009B4052" w:rsidRPr="00986A82">
        <w:rPr>
          <w:rFonts w:ascii="Times New Roman" w:hAnsi="Times New Roman" w:cs="Times New Roman"/>
          <w:sz w:val="28"/>
          <w:szCs w:val="28"/>
          <w:lang w:val="nl-NL"/>
        </w:rPr>
        <w:t xml:space="preserve">và ổn định </w:t>
      </w:r>
      <w:r w:rsidR="006955E4" w:rsidRPr="00986A82">
        <w:rPr>
          <w:rFonts w:ascii="Times New Roman" w:hAnsi="Times New Roman" w:cs="Times New Roman"/>
          <w:sz w:val="28"/>
          <w:szCs w:val="28"/>
          <w:lang w:val="nl-NL"/>
        </w:rPr>
        <w:t>nguồn</w:t>
      </w:r>
      <w:r w:rsidR="005816EA" w:rsidRPr="00986A82">
        <w:rPr>
          <w:rFonts w:ascii="Times New Roman" w:hAnsi="Times New Roman" w:cs="Times New Roman"/>
          <w:sz w:val="28"/>
          <w:szCs w:val="28"/>
          <w:lang w:val="nl-NL"/>
        </w:rPr>
        <w:t xml:space="preserve"> thu NSNN </w:t>
      </w:r>
      <w:r w:rsidR="006955E4" w:rsidRPr="00986A82">
        <w:rPr>
          <w:rFonts w:ascii="Times New Roman" w:hAnsi="Times New Roman" w:cs="Times New Roman"/>
          <w:sz w:val="28"/>
          <w:szCs w:val="28"/>
          <w:lang w:val="nl-NL"/>
        </w:rPr>
        <w:t>để giải quyết tốt hơn các mục tiêu kinh tế - xã hội của đất nước./.</w:t>
      </w:r>
    </w:p>
    <w:p w:rsidR="00C335C4" w:rsidRPr="00986A82" w:rsidRDefault="006955E4" w:rsidP="006955E4">
      <w:pPr>
        <w:spacing w:before="120" w:after="120" w:line="240" w:lineRule="auto"/>
        <w:jc w:val="right"/>
        <w:rPr>
          <w:rFonts w:ascii="Times New Roman" w:hAnsi="Times New Roman" w:cs="Times New Roman"/>
          <w:sz w:val="28"/>
          <w:szCs w:val="28"/>
        </w:rPr>
      </w:pPr>
      <w:r w:rsidRPr="00986A82">
        <w:rPr>
          <w:rFonts w:ascii="Times New Roman" w:hAnsi="Times New Roman" w:cs="Times New Roman"/>
          <w:b/>
          <w:sz w:val="28"/>
          <w:szCs w:val="28"/>
          <w:lang w:val="nl-NL"/>
        </w:rPr>
        <w:t>BỘ TÀI CHÍNH</w:t>
      </w:r>
    </w:p>
    <w:sectPr w:rsidR="00C335C4" w:rsidRPr="00986A82" w:rsidSect="005E53E8">
      <w:footerReference w:type="default" r:id="rId8"/>
      <w:pgSz w:w="11906" w:h="16838"/>
      <w:pgMar w:top="1276" w:right="1133" w:bottom="993" w:left="1440" w:header="708" w:footer="1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CA" w:rsidRDefault="00FE57CA" w:rsidP="00C01A65">
      <w:pPr>
        <w:spacing w:after="0" w:line="240" w:lineRule="auto"/>
      </w:pPr>
      <w:r>
        <w:separator/>
      </w:r>
    </w:p>
  </w:endnote>
  <w:endnote w:type="continuationSeparator" w:id="0">
    <w:p w:rsidR="00FE57CA" w:rsidRDefault="00FE57CA" w:rsidP="00C0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2671"/>
      <w:docPartObj>
        <w:docPartGallery w:val="Page Numbers (Bottom of Page)"/>
        <w:docPartUnique/>
      </w:docPartObj>
    </w:sdtPr>
    <w:sdtEndPr/>
    <w:sdtContent>
      <w:p w:rsidR="00332322" w:rsidRDefault="00FE57CA">
        <w:pPr>
          <w:pStyle w:val="Footer"/>
          <w:jc w:val="right"/>
        </w:pPr>
        <w:r>
          <w:fldChar w:fldCharType="begin"/>
        </w:r>
        <w:r>
          <w:instrText xml:space="preserve"> PAGE   \* MERGEFORMAT </w:instrText>
        </w:r>
        <w:r>
          <w:fldChar w:fldCharType="separate"/>
        </w:r>
        <w:r w:rsidR="00986A82">
          <w:rPr>
            <w:noProof/>
          </w:rPr>
          <w:t>5</w:t>
        </w:r>
        <w:r>
          <w:rPr>
            <w:noProof/>
          </w:rPr>
          <w:fldChar w:fldCharType="end"/>
        </w:r>
      </w:p>
    </w:sdtContent>
  </w:sdt>
  <w:p w:rsidR="00A241CD" w:rsidRDefault="00A24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CA" w:rsidRDefault="00FE57CA" w:rsidP="00C01A65">
      <w:pPr>
        <w:spacing w:after="0" w:line="240" w:lineRule="auto"/>
      </w:pPr>
      <w:r>
        <w:separator/>
      </w:r>
    </w:p>
  </w:footnote>
  <w:footnote w:type="continuationSeparator" w:id="0">
    <w:p w:rsidR="00FE57CA" w:rsidRDefault="00FE57CA" w:rsidP="00C01A65">
      <w:pPr>
        <w:spacing w:after="0" w:line="240" w:lineRule="auto"/>
      </w:pPr>
      <w:r>
        <w:continuationSeparator/>
      </w:r>
    </w:p>
  </w:footnote>
  <w:footnote w:id="1">
    <w:p w:rsidR="00942073" w:rsidRPr="000611F8" w:rsidRDefault="00942073" w:rsidP="00942073">
      <w:pPr>
        <w:pStyle w:val="FootnoteText"/>
        <w:jc w:val="both"/>
        <w:rPr>
          <w:rFonts w:asciiTheme="majorHAnsi" w:hAnsiTheme="majorHAnsi" w:cstheme="majorHAnsi"/>
          <w:sz w:val="22"/>
          <w:szCs w:val="22"/>
        </w:rPr>
      </w:pPr>
      <w:r>
        <w:rPr>
          <w:rStyle w:val="FootnoteReference"/>
        </w:rPr>
        <w:footnoteRef/>
      </w:r>
      <w:r>
        <w:t xml:space="preserve"> </w:t>
      </w:r>
      <w:r w:rsidRPr="000611F8">
        <w:rPr>
          <w:rFonts w:asciiTheme="majorHAnsi" w:hAnsiTheme="majorHAnsi" w:cstheme="majorHAnsi"/>
          <w:sz w:val="22"/>
          <w:szCs w:val="22"/>
        </w:rPr>
        <w:t>Quy định liên quan đến GTGC đối với cá nhân kinh doanh đã được bãi bỏ theo quy định tại khoản 4 Điề</w:t>
      </w:r>
      <w:r w:rsidR="008A1012">
        <w:rPr>
          <w:rFonts w:asciiTheme="majorHAnsi" w:hAnsiTheme="majorHAnsi" w:cstheme="majorHAnsi"/>
          <w:sz w:val="22"/>
          <w:szCs w:val="22"/>
        </w:rPr>
        <w:t>u 6 Luật</w:t>
      </w:r>
      <w:r w:rsidRPr="000611F8">
        <w:rPr>
          <w:rFonts w:asciiTheme="majorHAnsi" w:hAnsiTheme="majorHAnsi" w:cstheme="majorHAnsi"/>
          <w:sz w:val="22"/>
          <w:szCs w:val="22"/>
        </w:rPr>
        <w:t xml:space="preserve"> số 71/2014/QH13 sửa đổi, bổ sung một số điều của các luật về thuế, có hiệu lực thi hành từ 01/01/2015, theo đó cá nhân kinh doanh nộp thuế TNCN theo tỷ lệ trên doanh thu đối với từng lĩnh vực, ngành nghề sản xuất, kinh doanh.</w:t>
      </w:r>
    </w:p>
    <w:p w:rsidR="00942073" w:rsidRPr="00942073" w:rsidRDefault="0094207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E4"/>
    <w:rsid w:val="0001414E"/>
    <w:rsid w:val="00035974"/>
    <w:rsid w:val="00054409"/>
    <w:rsid w:val="00055508"/>
    <w:rsid w:val="001C5B9A"/>
    <w:rsid w:val="001E68A6"/>
    <w:rsid w:val="00213066"/>
    <w:rsid w:val="002228A8"/>
    <w:rsid w:val="00294452"/>
    <w:rsid w:val="002E3479"/>
    <w:rsid w:val="00321383"/>
    <w:rsid w:val="00332322"/>
    <w:rsid w:val="00386D39"/>
    <w:rsid w:val="003B0E45"/>
    <w:rsid w:val="003B100B"/>
    <w:rsid w:val="003C0000"/>
    <w:rsid w:val="004330BB"/>
    <w:rsid w:val="004C67A5"/>
    <w:rsid w:val="004D4AA9"/>
    <w:rsid w:val="004E34C1"/>
    <w:rsid w:val="004E4725"/>
    <w:rsid w:val="005420BB"/>
    <w:rsid w:val="005816EA"/>
    <w:rsid w:val="00593FCC"/>
    <w:rsid w:val="005B7A5F"/>
    <w:rsid w:val="005E53E8"/>
    <w:rsid w:val="00667682"/>
    <w:rsid w:val="006955E4"/>
    <w:rsid w:val="006A375F"/>
    <w:rsid w:val="006B2BB6"/>
    <w:rsid w:val="006B58B0"/>
    <w:rsid w:val="006D2E92"/>
    <w:rsid w:val="00714C96"/>
    <w:rsid w:val="00763CD6"/>
    <w:rsid w:val="0077642D"/>
    <w:rsid w:val="0077649F"/>
    <w:rsid w:val="007A1F77"/>
    <w:rsid w:val="007D1CA3"/>
    <w:rsid w:val="008522C6"/>
    <w:rsid w:val="00862996"/>
    <w:rsid w:val="008A1012"/>
    <w:rsid w:val="008E6F6C"/>
    <w:rsid w:val="00942073"/>
    <w:rsid w:val="00943A28"/>
    <w:rsid w:val="00954975"/>
    <w:rsid w:val="009839E3"/>
    <w:rsid w:val="00986A82"/>
    <w:rsid w:val="009B4052"/>
    <w:rsid w:val="009B7BE4"/>
    <w:rsid w:val="00A14104"/>
    <w:rsid w:val="00A241CD"/>
    <w:rsid w:val="00A77685"/>
    <w:rsid w:val="00A81556"/>
    <w:rsid w:val="00AB269A"/>
    <w:rsid w:val="00AC64AE"/>
    <w:rsid w:val="00B53FEF"/>
    <w:rsid w:val="00C01A65"/>
    <w:rsid w:val="00C335C4"/>
    <w:rsid w:val="00C378D7"/>
    <w:rsid w:val="00C40336"/>
    <w:rsid w:val="00C41217"/>
    <w:rsid w:val="00C7174B"/>
    <w:rsid w:val="00C81DBD"/>
    <w:rsid w:val="00CB212C"/>
    <w:rsid w:val="00CB7D2F"/>
    <w:rsid w:val="00CD31ED"/>
    <w:rsid w:val="00D45969"/>
    <w:rsid w:val="00D524BD"/>
    <w:rsid w:val="00D81045"/>
    <w:rsid w:val="00DA3620"/>
    <w:rsid w:val="00DB24DE"/>
    <w:rsid w:val="00DE3ED3"/>
    <w:rsid w:val="00EB1650"/>
    <w:rsid w:val="00EC0A56"/>
    <w:rsid w:val="00F712AE"/>
    <w:rsid w:val="00FE57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5E4"/>
    <w:pPr>
      <w:keepNext/>
      <w:spacing w:after="0" w:line="240" w:lineRule="auto"/>
      <w:jc w:val="center"/>
      <w:outlineLvl w:val="0"/>
    </w:pPr>
    <w:rPr>
      <w:rFonts w:ascii=".VnTime" w:eastAsia="Times New Roman" w:hAnsi=".VnTime" w:cs="Times New Roman"/>
      <w:i/>
      <w:sz w:val="28"/>
      <w:szCs w:val="24"/>
      <w:lang w:val="en-AU"/>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6955E4"/>
    <w:pPr>
      <w:keepNext/>
      <w:spacing w:after="0" w:line="240" w:lineRule="auto"/>
      <w:jc w:val="center"/>
      <w:outlineLvl w:val="2"/>
    </w:pPr>
    <w:rPr>
      <w:rFonts w:ascii=".VnTime" w:eastAsia="Times New Roman" w:hAnsi=".VnTime"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95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6955E4"/>
    <w:rPr>
      <w:rFonts w:ascii="Times New Roman" w:eastAsia="Times New Roman" w:hAnsi="Times New Roman" w:cs="Times New Roman"/>
      <w:sz w:val="24"/>
      <w:szCs w:val="24"/>
      <w:lang w:val="en-US"/>
    </w:rPr>
  </w:style>
  <w:style w:type="table" w:styleId="TableGrid">
    <w:name w:val="Table Grid"/>
    <w:basedOn w:val="TableNormal"/>
    <w:uiPriority w:val="59"/>
    <w:rsid w:val="0069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5E4"/>
    <w:rPr>
      <w:rFonts w:ascii=".VnTime" w:eastAsia="Times New Roman" w:hAnsi=".VnTime" w:cs="Times New Roman"/>
      <w:i/>
      <w:sz w:val="28"/>
      <w:szCs w:val="24"/>
      <w:lang w:val="en-AU"/>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6955E4"/>
    <w:rPr>
      <w:rFonts w:ascii=".VnTime" w:eastAsia="Times New Roman" w:hAnsi=".VnTime" w:cs="Times New Roman"/>
      <w:b/>
      <w:bCs/>
      <w:sz w:val="24"/>
      <w:szCs w:val="24"/>
      <w:lang w:val="en-AU"/>
    </w:rPr>
  </w:style>
  <w:style w:type="paragraph" w:styleId="Header">
    <w:name w:val="header"/>
    <w:basedOn w:val="Normal"/>
    <w:link w:val="HeaderChar"/>
    <w:uiPriority w:val="99"/>
    <w:semiHidden/>
    <w:unhideWhenUsed/>
    <w:rsid w:val="00C01A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1A65"/>
  </w:style>
  <w:style w:type="paragraph" w:styleId="Footer">
    <w:name w:val="footer"/>
    <w:basedOn w:val="Normal"/>
    <w:link w:val="FooterChar"/>
    <w:uiPriority w:val="99"/>
    <w:unhideWhenUsed/>
    <w:rsid w:val="00C01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A65"/>
  </w:style>
  <w:style w:type="character" w:styleId="FootnoteReference">
    <w:name w:val="footnote reference"/>
    <w:basedOn w:val="DefaultParagraphFont"/>
    <w:uiPriority w:val="99"/>
    <w:semiHidden/>
    <w:unhideWhenUsed/>
    <w:rsid w:val="00A241CD"/>
    <w:rPr>
      <w:vertAlign w:val="superscript"/>
    </w:rPr>
  </w:style>
  <w:style w:type="paragraph" w:styleId="FootnoteText">
    <w:name w:val="footnote text"/>
    <w:basedOn w:val="Normal"/>
    <w:link w:val="FootnoteTextChar"/>
    <w:uiPriority w:val="99"/>
    <w:semiHidden/>
    <w:unhideWhenUsed/>
    <w:rsid w:val="008E6F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F6C"/>
    <w:rPr>
      <w:sz w:val="20"/>
      <w:szCs w:val="20"/>
    </w:rPr>
  </w:style>
  <w:style w:type="paragraph" w:styleId="ListParagraph">
    <w:name w:val="List Paragraph"/>
    <w:basedOn w:val="Normal"/>
    <w:uiPriority w:val="34"/>
    <w:qFormat/>
    <w:rsid w:val="004C6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5E4"/>
    <w:pPr>
      <w:keepNext/>
      <w:spacing w:after="0" w:line="240" w:lineRule="auto"/>
      <w:jc w:val="center"/>
      <w:outlineLvl w:val="0"/>
    </w:pPr>
    <w:rPr>
      <w:rFonts w:ascii=".VnTime" w:eastAsia="Times New Roman" w:hAnsi=".VnTime" w:cs="Times New Roman"/>
      <w:i/>
      <w:sz w:val="28"/>
      <w:szCs w:val="24"/>
      <w:lang w:val="en-AU"/>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6955E4"/>
    <w:pPr>
      <w:keepNext/>
      <w:spacing w:after="0" w:line="240" w:lineRule="auto"/>
      <w:jc w:val="center"/>
      <w:outlineLvl w:val="2"/>
    </w:pPr>
    <w:rPr>
      <w:rFonts w:ascii=".VnTime" w:eastAsia="Times New Roman" w:hAnsi=".VnTime"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95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6955E4"/>
    <w:rPr>
      <w:rFonts w:ascii="Times New Roman" w:eastAsia="Times New Roman" w:hAnsi="Times New Roman" w:cs="Times New Roman"/>
      <w:sz w:val="24"/>
      <w:szCs w:val="24"/>
      <w:lang w:val="en-US"/>
    </w:rPr>
  </w:style>
  <w:style w:type="table" w:styleId="TableGrid">
    <w:name w:val="Table Grid"/>
    <w:basedOn w:val="TableNormal"/>
    <w:uiPriority w:val="59"/>
    <w:rsid w:val="0069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5E4"/>
    <w:rPr>
      <w:rFonts w:ascii=".VnTime" w:eastAsia="Times New Roman" w:hAnsi=".VnTime" w:cs="Times New Roman"/>
      <w:i/>
      <w:sz w:val="28"/>
      <w:szCs w:val="24"/>
      <w:lang w:val="en-AU"/>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6955E4"/>
    <w:rPr>
      <w:rFonts w:ascii=".VnTime" w:eastAsia="Times New Roman" w:hAnsi=".VnTime" w:cs="Times New Roman"/>
      <w:b/>
      <w:bCs/>
      <w:sz w:val="24"/>
      <w:szCs w:val="24"/>
      <w:lang w:val="en-AU"/>
    </w:rPr>
  </w:style>
  <w:style w:type="paragraph" w:styleId="Header">
    <w:name w:val="header"/>
    <w:basedOn w:val="Normal"/>
    <w:link w:val="HeaderChar"/>
    <w:uiPriority w:val="99"/>
    <w:semiHidden/>
    <w:unhideWhenUsed/>
    <w:rsid w:val="00C01A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1A65"/>
  </w:style>
  <w:style w:type="paragraph" w:styleId="Footer">
    <w:name w:val="footer"/>
    <w:basedOn w:val="Normal"/>
    <w:link w:val="FooterChar"/>
    <w:uiPriority w:val="99"/>
    <w:unhideWhenUsed/>
    <w:rsid w:val="00C01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A65"/>
  </w:style>
  <w:style w:type="character" w:styleId="FootnoteReference">
    <w:name w:val="footnote reference"/>
    <w:basedOn w:val="DefaultParagraphFont"/>
    <w:uiPriority w:val="99"/>
    <w:semiHidden/>
    <w:unhideWhenUsed/>
    <w:rsid w:val="00A241CD"/>
    <w:rPr>
      <w:vertAlign w:val="superscript"/>
    </w:rPr>
  </w:style>
  <w:style w:type="paragraph" w:styleId="FootnoteText">
    <w:name w:val="footnote text"/>
    <w:basedOn w:val="Normal"/>
    <w:link w:val="FootnoteTextChar"/>
    <w:uiPriority w:val="99"/>
    <w:semiHidden/>
    <w:unhideWhenUsed/>
    <w:rsid w:val="008E6F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F6C"/>
    <w:rPr>
      <w:sz w:val="20"/>
      <w:szCs w:val="20"/>
    </w:rPr>
  </w:style>
  <w:style w:type="paragraph" w:styleId="ListParagraph">
    <w:name w:val="List Paragraph"/>
    <w:basedOn w:val="Normal"/>
    <w:uiPriority w:val="34"/>
    <w:qFormat/>
    <w:rsid w:val="004C6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E41BC-7133-4007-8BC6-9174FC67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caothithanhlan</dc:creator>
  <cp:lastModifiedBy>Ly Vu</cp:lastModifiedBy>
  <cp:revision>2</cp:revision>
  <cp:lastPrinted>2020-02-21T04:42:00Z</cp:lastPrinted>
  <dcterms:created xsi:type="dcterms:W3CDTF">2020-02-28T15:15:00Z</dcterms:created>
  <dcterms:modified xsi:type="dcterms:W3CDTF">2020-02-28T15:15:00Z</dcterms:modified>
</cp:coreProperties>
</file>